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747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4D9FEB5" w14:textId="77777777" w:rsidR="009F4441" w:rsidRDefault="000E4991" w:rsidP="009F4441">
      <w:pPr>
        <w:pStyle w:val="Subtitle"/>
      </w:pPr>
      <w:r>
        <w:rPr>
          <w:rFonts w:hint="cs"/>
          <w:rtl/>
        </w:rPr>
        <w:t>פרשת בא</w:t>
      </w:r>
    </w:p>
    <w:p w14:paraId="2A0D4630" w14:textId="2524936A" w:rsidR="009F4441" w:rsidRDefault="006A5AB6" w:rsidP="009F4441">
      <w:pPr>
        <w:pStyle w:val="Heading1"/>
        <w:rPr>
          <w:rtl/>
        </w:rPr>
      </w:pPr>
      <w:r>
        <w:rPr>
          <w:rFonts w:hint="cs"/>
          <w:rtl/>
        </w:rPr>
        <w:t xml:space="preserve">סיפור יציאת מצרים </w:t>
      </w:r>
      <w:r w:rsidR="0021352B">
        <w:rPr>
          <w:rtl/>
        </w:rPr>
        <w:t>–</w:t>
      </w:r>
      <w:r>
        <w:rPr>
          <w:rFonts w:hint="cs"/>
          <w:rtl/>
        </w:rPr>
        <w:t xml:space="preserve"> </w:t>
      </w:r>
      <w:r w:rsidR="0021352B">
        <w:rPr>
          <w:rFonts w:hint="cs"/>
          <w:rtl/>
        </w:rPr>
        <w:t>השרשת עיקרי האמונה</w:t>
      </w:r>
    </w:p>
    <w:p w14:paraId="2EA1CB6A" w14:textId="62DEA185" w:rsidR="000C25FD" w:rsidRDefault="005D44AE">
      <w:pPr>
        <w:rPr>
          <w:rFonts w:eastAsia="Calibri"/>
          <w:color w:val="000080"/>
          <w:sz w:val="28"/>
          <w:szCs w:val="28"/>
        </w:rPr>
      </w:pPr>
      <w:r w:rsidRPr="005D44AE">
        <w:rPr>
          <w:rFonts w:eastAsia="Calibri"/>
          <w:color w:val="000080"/>
          <w:sz w:val="28"/>
          <w:szCs w:val="28"/>
          <w:rtl/>
        </w:rPr>
        <w:t>דרך פקודיך מצות עשה כא חלק המחשבה</w:t>
      </w:r>
    </w:p>
    <w:p w14:paraId="0E94793A" w14:textId="5A851189" w:rsidR="00654888" w:rsidRDefault="00654888" w:rsidP="00654888">
      <w:pPr>
        <w:pStyle w:val="Heading1"/>
        <w:rPr>
          <w:rtl/>
        </w:rPr>
      </w:pPr>
      <w:bookmarkStart w:id="0" w:name="_Toc521479601"/>
      <w:r w:rsidRPr="3C946A98">
        <w:rPr>
          <w:rtl/>
        </w:rPr>
        <w:t>שמות החדשים</w:t>
      </w:r>
      <w:bookmarkEnd w:id="0"/>
    </w:p>
    <w:p w14:paraId="70FB64DC" w14:textId="77777777" w:rsidR="00654888" w:rsidRDefault="00654888" w:rsidP="00654888">
      <w:pPr>
        <w:pStyle w:val="Heading2"/>
        <w:rPr>
          <w:rtl/>
        </w:rPr>
      </w:pPr>
      <w:r w:rsidRPr="3C946A98">
        <w:rPr>
          <w:rtl/>
        </w:rPr>
        <w:t>רמב"ן שמות יב:ב</w:t>
      </w:r>
    </w:p>
    <w:p w14:paraId="77592E00" w14:textId="77777777" w:rsidR="00654888" w:rsidRPr="003F7ABC" w:rsidRDefault="00654888" w:rsidP="00654888">
      <w:pPr>
        <w:rPr>
          <w:rtl/>
        </w:rPr>
      </w:pPr>
      <w:r w:rsidRPr="3C946A98">
        <w:t xml:space="preserve">  </w:t>
      </w:r>
      <w:r w:rsidRPr="3C946A98">
        <w:rPr>
          <w:rtl/>
        </w:rPr>
        <w:t>וכמו שתהיה הזכירה ביום השבת במנותינו ממנו אחד בשבת ושני בשבת, כאשר אפרש (להלן כ ח), כך הזכירה ביציאת מצרים במנותינו החדש הראשון והחדש השני והשלישי לגאולתינו, שאין המנין הזה לשנה, שהרי תחלת שנותינו מתשרי, דכתיב (להלן לד כב) וחג האסיף תקופת השנה, וכתיב (שם כג טז) בצאת השנה, אם כן כשנקרא לחדש ניסן ראשון ולתשרי שביעי, פתרונו ראשון לגאולה ושביעי אליה. וזה טעם ראשון הוא לכם, שאיננו ראשון בשנה, אבל הוא ראשון לכם, שנקרא לו לזכרון גאולתינו</w:t>
      </w:r>
      <w:r w:rsidRPr="3C946A98">
        <w:t>:</w:t>
      </w:r>
    </w:p>
    <w:p w14:paraId="3346AD5D" w14:textId="77777777" w:rsidR="00654888" w:rsidRPr="003F7ABC" w:rsidRDefault="00654888" w:rsidP="00654888">
      <w:r w:rsidRPr="3C946A98">
        <w:t xml:space="preserve">  </w:t>
      </w:r>
      <w:r w:rsidRPr="3C946A98">
        <w:rPr>
          <w:rtl/>
        </w:rPr>
        <w:t>וכבר הזכירו רבותינו זה הענין, ואמרו שמות חדשים עלו עמנו מבבל (ירושלמי ר"ה א ב, ב"ר מח ט), כי מתחלה לא היו להם שמות אצלנו, והסבה בזה, כי מתחלה היה מניינם זכר ליציאת מצרים, אבל כאשר עלינו מבבל ונתקיים מה שאמר הכתוב (ירמיה טז יד - טו) ולא יאמר עוד חי ה' אשר העלה את בני ישראל מארץ מצרים כי אם חי ה' אשר העלה ואשר הביא את בני ישראל מארץ צפון, חזרנו לקרא החדשים בשם שנקראים בארץ בבל, להזכיר כי שם עמדנו ומשם העלנו הש"י. כי אלה השמות ניסן אייר וזולתם שמות פרסיים, ולא ימצא רק בספרי נביאי בבל (זכריה א ז, עזרא ו טו, נחמיה א א) ובמגילת אסתר (ג ז). ולכן אמר הכתוב בחדש הראשון הוא חדש ניסן, כמו הפיל פור הוא הגורל (שם). ועוד היום הגוים בארצות פרס ומדי כך הם קוראים אותם ניסן ותשרי וכלם כמונו. והנה נזכיר בחדשים הגאולה השנית כאשר עשינו עד הנה בראשונה</w:t>
      </w:r>
      <w:r w:rsidRPr="3C946A98">
        <w:t>:</w:t>
      </w:r>
    </w:p>
    <w:p w14:paraId="2CC90A8F" w14:textId="77777777" w:rsidR="00654888" w:rsidRPr="00C17E0C" w:rsidRDefault="00654888" w:rsidP="00654888">
      <w:pPr>
        <w:pStyle w:val="Heading2"/>
        <w:rPr>
          <w:rtl/>
        </w:rPr>
      </w:pPr>
      <w:r w:rsidRPr="3C946A98">
        <w:rPr>
          <w:rtl/>
        </w:rPr>
        <w:t>בעקבי הצאן סימן ב</w:t>
      </w:r>
    </w:p>
    <w:p w14:paraId="18B9DBBE" w14:textId="77777777" w:rsidR="00417CBC" w:rsidRPr="00D335F2" w:rsidRDefault="00417CBC" w:rsidP="00417CBC">
      <w:pPr>
        <w:pStyle w:val="Heading1"/>
        <w:rPr>
          <w:rtl/>
        </w:rPr>
      </w:pPr>
      <w:bookmarkStart w:id="1" w:name="_Toc521479291"/>
      <w:bookmarkStart w:id="2" w:name="_Toc521479219"/>
      <w:r w:rsidRPr="00D335F2">
        <w:rPr>
          <w:rFonts w:hint="cs"/>
          <w:rtl/>
        </w:rPr>
        <w:t>קידוש החודש – מניין המצוות</w:t>
      </w:r>
      <w:bookmarkEnd w:id="2"/>
    </w:p>
    <w:p w14:paraId="2D2FC1A5" w14:textId="77777777" w:rsidR="00417CBC" w:rsidRPr="00D335F2" w:rsidRDefault="00417CBC" w:rsidP="00417CBC">
      <w:pPr>
        <w:pStyle w:val="Heading2"/>
        <w:rPr>
          <w:shd w:val="clear" w:color="auto" w:fill="FFFFFF"/>
          <w:rtl/>
        </w:rPr>
      </w:pPr>
      <w:r w:rsidRPr="00D335F2">
        <w:rPr>
          <w:rFonts w:hint="cs"/>
          <w:shd w:val="clear" w:color="auto" w:fill="FFFFFF"/>
          <w:rtl/>
        </w:rPr>
        <w:t>רמב"ם ספר המצוות עשה קנג והשגות הרמב"ן שם</w:t>
      </w:r>
    </w:p>
    <w:p w14:paraId="1C24A492" w14:textId="77777777" w:rsidR="00417CBC" w:rsidRPr="00D335F2" w:rsidRDefault="00417CBC" w:rsidP="00417CBC">
      <w:pPr>
        <w:pStyle w:val="Heading2"/>
        <w:rPr>
          <w:shd w:val="clear" w:color="auto" w:fill="FFFFFF"/>
          <w:rtl/>
        </w:rPr>
      </w:pPr>
      <w:r w:rsidRPr="00D335F2">
        <w:rPr>
          <w:rFonts w:hint="cs"/>
          <w:shd w:val="clear" w:color="auto" w:fill="FFFFFF"/>
          <w:rtl/>
        </w:rPr>
        <w:t>רמב"ם הלכות קידוש החודש פרק א'</w:t>
      </w:r>
    </w:p>
    <w:p w14:paraId="44CA2F69" w14:textId="77777777" w:rsidR="00417CBC" w:rsidRPr="00D335F2" w:rsidRDefault="00417CBC" w:rsidP="00417CBC">
      <w:pPr>
        <w:rPr>
          <w:rtl/>
        </w:rPr>
      </w:pPr>
      <w:r w:rsidRPr="00D335F2">
        <w:rPr>
          <w:rFonts w:hint="cs"/>
          <w:rtl/>
        </w:rPr>
        <w:t xml:space="preserve">כותרת: </w:t>
      </w:r>
      <w:r w:rsidRPr="00D335F2">
        <w:rPr>
          <w:rtl/>
        </w:rPr>
        <w:t>הלכות קדוש החדש. מצות עשה אחת והיא לחשב ולידע ולקבוע באיזה יום הוא תחלת כל חדש וחדש מחדשי השנה. וביאור מצוה זו בפרקים אלו.</w:t>
      </w:r>
    </w:p>
    <w:p w14:paraId="1B8995BB" w14:textId="77777777" w:rsidR="00417CBC" w:rsidRPr="00D335F2" w:rsidRDefault="00417CBC" w:rsidP="00417CBC">
      <w:pPr>
        <w:rPr>
          <w:rtl/>
        </w:rPr>
      </w:pPr>
      <w:r w:rsidRPr="00D335F2">
        <w:rPr>
          <w:rFonts w:hint="cs"/>
          <w:rtl/>
        </w:rPr>
        <w:t xml:space="preserve">הלכה ז: </w:t>
      </w:r>
      <w:r w:rsidRPr="00D335F2">
        <w:rPr>
          <w:rtl/>
        </w:rPr>
        <w:t>מצות עשה מן התורה על בית דין שיחשבו וידעו אם יראה הירח או לא יראה, ושידרשו את העדים עד שיקדשו את החדש, וישלחו ויודיעו את שאר העם באיזה יום הוא ראש חדש כדי שידעו באיזה יום הן המועדות, שנאמר אשר תקראו אותם מקראי קדש ונאמר ושמרת את החקה הזאת למועדה</w:t>
      </w:r>
    </w:p>
    <w:p w14:paraId="2079C0BE" w14:textId="77777777" w:rsidR="00F5088F" w:rsidRDefault="00F5088F" w:rsidP="00F5088F">
      <w:pPr>
        <w:pStyle w:val="Heading1"/>
        <w:rPr>
          <w:rtl/>
        </w:rPr>
      </w:pPr>
      <w:r>
        <w:rPr>
          <w:rFonts w:hint="cs"/>
          <w:rtl/>
        </w:rPr>
        <w:t xml:space="preserve">קרבנות </w:t>
      </w:r>
      <w:r>
        <w:rPr>
          <w:rtl/>
        </w:rPr>
        <w:t>–</w:t>
      </w:r>
      <w:r>
        <w:rPr>
          <w:rFonts w:hint="cs"/>
          <w:rtl/>
        </w:rPr>
        <w:t xml:space="preserve"> פסח מצרים ופסח דורות, הוראת שעה</w:t>
      </w:r>
      <w:bookmarkEnd w:id="1"/>
    </w:p>
    <w:p w14:paraId="79E3F8DC" w14:textId="77777777" w:rsidR="00F5088F" w:rsidRDefault="00F5088F" w:rsidP="00F5088F">
      <w:pPr>
        <w:pStyle w:val="Heading2"/>
        <w:rPr>
          <w:rtl/>
        </w:rPr>
      </w:pPr>
      <w:r>
        <w:rPr>
          <w:rFonts w:hint="cs"/>
          <w:rtl/>
        </w:rPr>
        <w:t>קדושת לוי פרשת בא ד"ה ובני ישראל</w:t>
      </w:r>
    </w:p>
    <w:p w14:paraId="39CF06D5" w14:textId="77777777" w:rsidR="00F5088F" w:rsidRDefault="00F5088F" w:rsidP="00F5088F">
      <w:r w:rsidRPr="003F4552">
        <w:rPr>
          <w:rtl/>
        </w:rPr>
        <w:t xml:space="preserve">ובני ישראל עשו כדבר משה כו' וינצלו את מצרים (יב, לה - לו). הנה בכל מקום כתיב ויעשו בני ישראל 'כאשר צוה ה' את משה'. הכלל, הדיבור והציווי שיצא מפי הקב"ה אל הנביא אזי הוא בבהירות גדול, רק האדם השומע מפי הנביא אזי אינו בבהירות כאשר יצא מפי הגבורה. והנה משה רבינו קיבל הדיבור מפי הבורא וישראל שמעו ממנו, ובעת ששמעו ממנו היה המצוה מאיר להם כאילו שמעו מפי הבורא, לפי ששכינה היתה מדברת מתוך גרונו כידוע (עי' זוה"ק ח"ג רלב, א; הוספות שם שו, ב). ולכך בכל המצות כתיב ויעשו בני ישראל 'כאשר צוה ה' את משה', בזה הבהירות שקיבל משה </w:t>
      </w:r>
      <w:r w:rsidRPr="003F4552">
        <w:rPr>
          <w:rtl/>
        </w:rPr>
        <w:lastRenderedPageBreak/>
        <w:t>מפי הקב"ה. אבל כאן שנצלו את מצרים והיה זה עליית ניצוצות כמבואר בספרים, ובאמת בעליית ניצוצות צריך האדם לצמצם ולהשפיל עצמו במחשבת הניצוץ כדי להעלות אותו, ולכך לא כתיב כאן רק ובני ישראל עשו 'כדבר משה', כי אז לא היה להם בהירות:</w:t>
      </w:r>
    </w:p>
    <w:p w14:paraId="5645FD68" w14:textId="77777777" w:rsidR="00F5088F" w:rsidRDefault="00F5088F" w:rsidP="00F5088F">
      <w:pPr>
        <w:pStyle w:val="Heading2"/>
        <w:rPr>
          <w:rtl/>
        </w:rPr>
      </w:pPr>
      <w:r>
        <w:rPr>
          <w:rFonts w:hint="cs"/>
          <w:rtl/>
        </w:rPr>
        <w:t>בעקבי הצאן עמ' קלב</w:t>
      </w:r>
    </w:p>
    <w:p w14:paraId="6BAFDD70" w14:textId="77777777" w:rsidR="00F914BC" w:rsidRPr="00925807" w:rsidRDefault="00F914BC" w:rsidP="00F914BC">
      <w:pPr>
        <w:pStyle w:val="Heading1"/>
        <w:rPr>
          <w:rtl/>
        </w:rPr>
      </w:pPr>
      <w:bookmarkStart w:id="3" w:name="_Toc521479164"/>
      <w:r w:rsidRPr="00925807">
        <w:rPr>
          <w:rFonts w:hint="cs"/>
          <w:rtl/>
        </w:rPr>
        <w:t>פסח – מרור</w:t>
      </w:r>
      <w:bookmarkEnd w:id="3"/>
    </w:p>
    <w:p w14:paraId="54CEF677" w14:textId="77777777" w:rsidR="00F914BC" w:rsidRPr="00037F45" w:rsidRDefault="00F914BC" w:rsidP="00F914BC">
      <w:pPr>
        <w:pStyle w:val="Heading2"/>
        <w:rPr>
          <w:shd w:val="clear" w:color="auto" w:fill="FFFFFF"/>
          <w:rtl/>
        </w:rPr>
      </w:pPr>
      <w:r w:rsidRPr="00037F45">
        <w:rPr>
          <w:rFonts w:hint="cs"/>
          <w:shd w:val="clear" w:color="auto" w:fill="FFFFFF"/>
          <w:rtl/>
        </w:rPr>
        <w:t>פסחים לט.</w:t>
      </w:r>
    </w:p>
    <w:p w14:paraId="22D218E9" w14:textId="77777777" w:rsidR="00F914BC" w:rsidRPr="00037F45" w:rsidRDefault="00F914BC" w:rsidP="00F914BC">
      <w:pPr>
        <w:pStyle w:val="Heading2"/>
        <w:rPr>
          <w:shd w:val="clear" w:color="auto" w:fill="FFFFFF"/>
          <w:rtl/>
        </w:rPr>
      </w:pPr>
      <w:r w:rsidRPr="00037F45">
        <w:rPr>
          <w:rFonts w:hint="cs"/>
          <w:shd w:val="clear" w:color="auto" w:fill="FFFFFF"/>
          <w:rtl/>
        </w:rPr>
        <w:t>רא"ש פסחים י:כה</w:t>
      </w:r>
    </w:p>
    <w:p w14:paraId="711268C6" w14:textId="77777777" w:rsidR="00F914BC" w:rsidRPr="00037F45" w:rsidRDefault="00F914BC" w:rsidP="00F914BC">
      <w:pPr>
        <w:rPr>
          <w:rtl/>
        </w:rPr>
      </w:pPr>
      <w:r w:rsidRPr="00037F45">
        <w:rPr>
          <w:rtl/>
        </w:rPr>
        <w:t>ובוצע ואוכל משתיהן מכל אחת ואחת כזית הרוצה לצאת ידי כולם יברך המוציא ועל אכילת מצה ואחר כך יבצע משתיהן ואחר כך יקח המרור ויברך על אכילת מרור ויטבל בחרוסת ויאכל כזית מן המרור</w:t>
      </w:r>
      <w:r w:rsidRPr="00037F45">
        <w:rPr>
          <w:rFonts w:hint="cs"/>
          <w:rtl/>
        </w:rPr>
        <w:t>...</w:t>
      </w:r>
    </w:p>
    <w:p w14:paraId="5969D79C" w14:textId="77777777" w:rsidR="00F914BC" w:rsidRPr="00037F45" w:rsidRDefault="00F914BC" w:rsidP="00F914BC">
      <w:pPr>
        <w:pStyle w:val="Heading2"/>
        <w:rPr>
          <w:shd w:val="clear" w:color="auto" w:fill="FFFFFF"/>
          <w:rtl/>
        </w:rPr>
      </w:pPr>
      <w:r w:rsidRPr="00037F45">
        <w:rPr>
          <w:rFonts w:hint="cs"/>
          <w:shd w:val="clear" w:color="auto" w:fill="FFFFFF"/>
          <w:rtl/>
        </w:rPr>
        <w:t>תוספות</w:t>
      </w:r>
    </w:p>
    <w:p w14:paraId="4C815F1A" w14:textId="77777777" w:rsidR="00F914BC" w:rsidRPr="00037F45" w:rsidRDefault="00F914BC" w:rsidP="00F914BC">
      <w:pPr>
        <w:pStyle w:val="Heading2"/>
        <w:rPr>
          <w:shd w:val="clear" w:color="auto" w:fill="FFFFFF"/>
          <w:rtl/>
        </w:rPr>
      </w:pPr>
      <w:r w:rsidRPr="00037F45">
        <w:rPr>
          <w:shd w:val="clear" w:color="auto" w:fill="FFFFFF"/>
          <w:rtl/>
        </w:rPr>
        <w:t>ספר המצוות לרמב"ם מצות עשה נו</w:t>
      </w:r>
    </w:p>
    <w:p w14:paraId="1A2A43B6" w14:textId="77777777" w:rsidR="00F914BC" w:rsidRPr="00037F45" w:rsidRDefault="00F914BC" w:rsidP="00F914BC">
      <w:pPr>
        <w:rPr>
          <w:rtl/>
        </w:rPr>
      </w:pPr>
      <w:r w:rsidRPr="00037F45">
        <w:rPr>
          <w:rtl/>
        </w:rPr>
        <w:t xml:space="preserve">והמצוה הנ"ו היא שצונו לאכול כבש הפסח ליל חמשה עשר מניסן בתנאיו הנזכרים והוא שיהיה צלי ושייאכל בבית אחד ושייאכל עם מצה ומרור והוא אמרו ית' (בא יב) ואכלו את הבשר בלילה הזה צלי אש ומצות על מרורים יאכלוהו. ואולי יקשה עלי מקשה ויאמר למה תמנה אכילת פסח מצה ומרור מצוה אחת ולא תמנה אותם שלש מצות ושתהיה אכילת מצה מצוה ואכילת מרור מצוה ואכילת פסח מצוה, אשיבנו אמנם היות אכילת מצה מצוה בפני עצמה הוא אמת כמו שנבאר (ע' קנח) וכן אכילת הפסח מצוה בפני עצמה אמת כמו שזכרנו אבל המרור הוא נגרר לאכילת הפסח ואינו נמנה מצוה בפני עצמה. וראיה לדבר, שבשר הפסח ייאכל לקיום המצוה יהיה עמו המרור או לא יהיה והמרור לא ייאכל אלא עם בשר הפסח לאמרו ית' על מרורים יאכלוהו. ואילו אכל מרור מבלי בשר לא עשה כלום ולא נאמר כבר קיים מצוה אחת היא אכילת מרור. ולשון מכילתא צלי אש ומצות על מרורים מגיד הכתוב שמצות הפסח צלי מצה ומרור. כלומר שהמצוה היא קבוץ אלה. ושם אמרו מנין אתה אומר שאם אין להם מצה ומרור הם יוצאין ידי חובתן בפסח תלמוד לומר יאכלוהו, כלומר הבשר לבדו, יכול כשם שאם אין להם מצה ומרור הם יוצאים ידי חובתן בפסח כך אם אין להם פסח יצאו ידי חובתן במצה ומרור הרי אתה דן הואיל והפסח מצות עשה ומצה ומרור מצות עשה אם למדת שאם אין להם מצה ומרור הן יוצאין ידי חובתן בפסח כך אם אין להם פסח יוצאין ידי חובתן במצה ומרור תלמוד לומר יאכלוהו. ושם אמרו יאכלוהו מכאן אמרו חכמים הפסח נאכל אכילת שובע ואין מצה ומרור נאכלין אכילת שובע. לפי שעיקר המצוה אכילת הבשר כמו שאמר ואכלו את הבשר בלילה הזה והמרור מהנגרר אחר בשר הפסח וחיוביו כמו שיתבאר מלשונות אלו למי שיבינם. והראיה הברורה השרש שגזר בו התלמוד והוא אמרם (פסחים קטו א, קכ א) מרור בזמן הזה דרבנן. כי מן התורה אין חובה לאכלו בפני עצמו ואמנם ייאכל עם בשר הפסח. והיא ראיה ברורה שהוא מן הדברים הנגררים אחר המצוה, לא שאכילתו מצוה בפני עצמה. ומשפטי מצוה זו גם כן מבוארים במסכת פסחים:    </w:t>
      </w:r>
    </w:p>
    <w:p w14:paraId="627459BB" w14:textId="77777777" w:rsidR="00F914BC" w:rsidRPr="00037F45" w:rsidRDefault="00F914BC" w:rsidP="00F914BC">
      <w:pPr>
        <w:pStyle w:val="Heading2"/>
        <w:rPr>
          <w:shd w:val="clear" w:color="auto" w:fill="FFFFFF"/>
          <w:rtl/>
        </w:rPr>
      </w:pPr>
      <w:r w:rsidRPr="00037F45">
        <w:rPr>
          <w:rFonts w:hint="cs"/>
          <w:shd w:val="clear" w:color="auto" w:fill="FFFFFF"/>
          <w:rtl/>
        </w:rPr>
        <w:t>רמב"ם משנה תורה הלכות חמץ ומצה ז:יב</w:t>
      </w:r>
    </w:p>
    <w:p w14:paraId="24A3591D" w14:textId="77777777" w:rsidR="00F914BC" w:rsidRPr="00037F45" w:rsidRDefault="00F914BC" w:rsidP="00F914BC">
      <w:pPr>
        <w:rPr>
          <w:rtl/>
        </w:rPr>
      </w:pPr>
      <w:r w:rsidRPr="00037F45">
        <w:rPr>
          <w:rtl/>
        </w:rPr>
        <w:t>אכילת מרור אינה מצוה מן התורה בפני עצמה אלא תלויה היא באכילת הפסח, שמצות עשה אחת לאכול בשר הפסח על מצה ומרורים, ומדברי סופרים לאכול המרור לבדו בליל זה אפילו אין שם קרבן פסח.</w:t>
      </w:r>
    </w:p>
    <w:p w14:paraId="299E82E1" w14:textId="77777777" w:rsidR="00F914BC" w:rsidRPr="00037F45" w:rsidRDefault="00F914BC" w:rsidP="00F914BC">
      <w:pPr>
        <w:pStyle w:val="Heading2"/>
        <w:rPr>
          <w:shd w:val="clear" w:color="auto" w:fill="FFFFFF"/>
          <w:rtl/>
        </w:rPr>
      </w:pPr>
      <w:r w:rsidRPr="00037F45">
        <w:rPr>
          <w:rFonts w:hint="cs"/>
          <w:shd w:val="clear" w:color="auto" w:fill="FFFFFF"/>
          <w:rtl/>
        </w:rPr>
        <w:t>ארץ הצבי עמ' טז</w:t>
      </w:r>
    </w:p>
    <w:p w14:paraId="410FC74F" w14:textId="77777777" w:rsidR="00F914BC" w:rsidRDefault="00F914BC" w:rsidP="00F914BC">
      <w:pPr>
        <w:pStyle w:val="Heading2"/>
        <w:rPr>
          <w:shd w:val="clear" w:color="auto" w:fill="FFFFFF"/>
        </w:rPr>
      </w:pPr>
      <w:r w:rsidRPr="00037F45">
        <w:rPr>
          <w:rFonts w:hint="cs"/>
          <w:shd w:val="clear" w:color="auto" w:fill="FFFFFF"/>
          <w:rtl/>
        </w:rPr>
        <w:t xml:space="preserve">מפניני הרב עמ' קכב </w:t>
      </w:r>
      <w:r w:rsidRPr="00037F45">
        <w:rPr>
          <w:shd w:val="clear" w:color="auto" w:fill="FFFFFF"/>
          <w:rtl/>
        </w:rPr>
        <w:t>–</w:t>
      </w:r>
      <w:r w:rsidRPr="00037F45">
        <w:rPr>
          <w:rFonts w:hint="cs"/>
          <w:shd w:val="clear" w:color="auto" w:fill="FFFFFF"/>
          <w:rtl/>
        </w:rPr>
        <w:t xml:space="preserve"> קכג</w:t>
      </w:r>
    </w:p>
    <w:p w14:paraId="2549BC86" w14:textId="77777777" w:rsidR="0036376A" w:rsidRDefault="0036376A" w:rsidP="0036376A">
      <w:pPr>
        <w:pStyle w:val="Heading1"/>
        <w:rPr>
          <w:rtl/>
        </w:rPr>
      </w:pPr>
      <w:bookmarkStart w:id="4" w:name="_Toc521479293"/>
      <w:r>
        <w:rPr>
          <w:rFonts w:hint="cs"/>
          <w:rtl/>
        </w:rPr>
        <w:t xml:space="preserve">קרבנות </w:t>
      </w:r>
      <w:r>
        <w:rPr>
          <w:rtl/>
        </w:rPr>
        <w:t>–</w:t>
      </w:r>
      <w:r>
        <w:rPr>
          <w:rFonts w:hint="cs"/>
          <w:rtl/>
        </w:rPr>
        <w:t xml:space="preserve"> פסח </w:t>
      </w:r>
      <w:r>
        <w:rPr>
          <w:rtl/>
        </w:rPr>
        <w:t>–</w:t>
      </w:r>
      <w:r>
        <w:rPr>
          <w:rFonts w:hint="cs"/>
          <w:rtl/>
        </w:rPr>
        <w:t xml:space="preserve"> נשים</w:t>
      </w:r>
      <w:bookmarkEnd w:id="4"/>
    </w:p>
    <w:p w14:paraId="18D2191A" w14:textId="77777777" w:rsidR="0036376A" w:rsidRDefault="0036376A" w:rsidP="0036376A">
      <w:pPr>
        <w:pStyle w:val="Heading2"/>
        <w:rPr>
          <w:rtl/>
        </w:rPr>
      </w:pPr>
      <w:r>
        <w:rPr>
          <w:rFonts w:hint="cs"/>
          <w:rtl/>
        </w:rPr>
        <w:t>רמב"ם פירוש המשניות מכות ג:א</w:t>
      </w:r>
    </w:p>
    <w:p w14:paraId="4F19CBAB" w14:textId="77777777" w:rsidR="0036376A" w:rsidRDefault="0036376A" w:rsidP="0036376A">
      <w:pPr>
        <w:rPr>
          <w:rtl/>
        </w:rPr>
      </w:pPr>
      <w:r w:rsidRPr="00E63BCF">
        <w:rPr>
          <w:rtl/>
        </w:rPr>
        <w:t>צריך אתה לדעת את הכללים המרובים האלו שאזכיר במקום זה, מהם, שכל מחוייב כרת בלבד או מיתה בידי שמים, ויהיה אותו החיוב בלא תעשה אם היה הדבר בעדים והתראה סופג מלקות, ואם ספג מלקות ועשה תשובה נפטר מן הכרת.</w:t>
      </w:r>
      <w:r>
        <w:rPr>
          <w:rFonts w:hint="cs"/>
          <w:rtl/>
        </w:rPr>
        <w:t xml:space="preserve">.. </w:t>
      </w:r>
      <w:r w:rsidRPr="00E63BCF">
        <w:rPr>
          <w:rtl/>
        </w:rPr>
        <w:t>וידוע שכל המצות הם צווי ואזהרה, הצווי הוא מצות עשה, והאזהרה מצות לא תעשה.</w:t>
      </w:r>
    </w:p>
    <w:p w14:paraId="2BA73511" w14:textId="77777777" w:rsidR="0036376A" w:rsidRDefault="0036376A" w:rsidP="0036376A">
      <w:pPr>
        <w:rPr>
          <w:rtl/>
        </w:rPr>
      </w:pPr>
      <w:r>
        <w:rPr>
          <w:rFonts w:hint="cs"/>
          <w:rtl/>
        </w:rPr>
        <w:lastRenderedPageBreak/>
        <w:t>...</w:t>
      </w:r>
      <w:r w:rsidRPr="00247CEB">
        <w:rPr>
          <w:rtl/>
        </w:rPr>
        <w:t>החלק הראשון מהם לאו שניתן לאזהרת מיתת בית דין או לאזהרת כרת אין לוקין עליו, כגון אמרו לא יקח איש את אשת אביו, לא יהיה קדש מבני ישראל, לא יהיה לך אלהים אחרים, ודומיהם, לפי שלא בא הלאו הזה אלא לאזהרה, לפי הכלל שאצלינו שלא חייבה תורה מיתה ולא כרת עד שיהא באותו דבר לאו מיוחד והוא מה שאנו אומרים לא ענש הכתוב אלא אם כן הזהיר, ולפיכך אין אנו מוציאים לפועל שום עונש מן העונשין אלא אחר התראה.</w:t>
      </w:r>
    </w:p>
    <w:p w14:paraId="176A90C1" w14:textId="77777777" w:rsidR="00757E06" w:rsidRPr="00243DDF" w:rsidRDefault="00757E06" w:rsidP="00F91EFD">
      <w:pPr>
        <w:pStyle w:val="Heading1"/>
        <w:rPr>
          <w:rtl/>
        </w:rPr>
      </w:pPr>
      <w:bookmarkStart w:id="5" w:name="_Toc521478811"/>
      <w:bookmarkStart w:id="6" w:name="_GoBack"/>
      <w:bookmarkEnd w:id="6"/>
      <w:r>
        <w:rPr>
          <w:rFonts w:hint="cs"/>
          <w:rtl/>
        </w:rPr>
        <w:t xml:space="preserve">מצוות </w:t>
      </w:r>
      <w:r>
        <w:rPr>
          <w:rtl/>
        </w:rPr>
        <w:t>–</w:t>
      </w:r>
      <w:r>
        <w:rPr>
          <w:rFonts w:hint="cs"/>
          <w:rtl/>
        </w:rPr>
        <w:t xml:space="preserve"> </w:t>
      </w:r>
      <w:r w:rsidRPr="00243DDF">
        <w:rPr>
          <w:rtl/>
        </w:rPr>
        <w:t>איסור עשה</w:t>
      </w:r>
      <w:bookmarkEnd w:id="5"/>
      <w:r>
        <w:rPr>
          <w:rFonts w:hint="cs"/>
          <w:rtl/>
        </w:rPr>
        <w:t xml:space="preserve"> וכרת</w:t>
      </w:r>
    </w:p>
    <w:p w14:paraId="6E400085" w14:textId="77777777" w:rsidR="00757E06" w:rsidRPr="00243DDF" w:rsidRDefault="00757E06" w:rsidP="00F91EFD">
      <w:pPr>
        <w:pStyle w:val="Heading2"/>
        <w:rPr>
          <w:shd w:val="clear" w:color="auto" w:fill="FFFFFF"/>
          <w:rtl/>
        </w:rPr>
      </w:pPr>
      <w:r w:rsidRPr="00243DDF">
        <w:rPr>
          <w:rFonts w:hint="cs"/>
          <w:shd w:val="clear" w:color="auto" w:fill="FFFFFF"/>
          <w:rtl/>
        </w:rPr>
        <w:t>סנהדרין יב:</w:t>
      </w:r>
    </w:p>
    <w:p w14:paraId="2860E84D" w14:textId="77777777" w:rsidR="00757E06" w:rsidRPr="00243DDF" w:rsidRDefault="00757E06" w:rsidP="00F91EFD">
      <w:pPr>
        <w:pStyle w:val="Heading2"/>
        <w:rPr>
          <w:shd w:val="clear" w:color="auto" w:fill="FFFFFF"/>
        </w:rPr>
      </w:pPr>
      <w:r w:rsidRPr="00243DDF">
        <w:rPr>
          <w:shd w:val="clear" w:color="auto" w:fill="FFFFFF"/>
          <w:rtl/>
        </w:rPr>
        <w:t xml:space="preserve">תוספות </w:t>
      </w:r>
      <w:r w:rsidRPr="00243DDF">
        <w:rPr>
          <w:rFonts w:hint="cs"/>
          <w:shd w:val="clear" w:color="auto" w:fill="FFFFFF"/>
          <w:rtl/>
        </w:rPr>
        <w:t xml:space="preserve">סנהדרין </w:t>
      </w:r>
      <w:r w:rsidRPr="00243DDF">
        <w:rPr>
          <w:shd w:val="clear" w:color="auto" w:fill="FFFFFF"/>
          <w:rtl/>
        </w:rPr>
        <w:t>יב: ונשים משלימות לטהורים</w:t>
      </w:r>
      <w:r w:rsidRPr="00243DDF">
        <w:rPr>
          <w:shd w:val="clear" w:color="auto" w:fill="FFFFFF"/>
        </w:rPr>
        <w:t xml:space="preserve"> </w:t>
      </w:r>
    </w:p>
    <w:p w14:paraId="28BCA0B9" w14:textId="77777777" w:rsidR="00757E06" w:rsidRPr="00243DDF" w:rsidRDefault="00757E06" w:rsidP="00F91EFD">
      <w:pPr>
        <w:pStyle w:val="Heading2"/>
        <w:rPr>
          <w:shd w:val="clear" w:color="auto" w:fill="FFFFFF"/>
        </w:rPr>
      </w:pPr>
      <w:r w:rsidRPr="00243DDF">
        <w:rPr>
          <w:shd w:val="clear" w:color="auto" w:fill="FFFFFF"/>
          <w:rtl/>
        </w:rPr>
        <w:t xml:space="preserve">תוספות </w:t>
      </w:r>
      <w:r w:rsidRPr="00243DDF">
        <w:rPr>
          <w:rFonts w:hint="cs"/>
          <w:shd w:val="clear" w:color="auto" w:fill="FFFFFF"/>
          <w:rtl/>
        </w:rPr>
        <w:t xml:space="preserve">סנהדרין </w:t>
      </w:r>
      <w:r w:rsidRPr="00243DDF">
        <w:rPr>
          <w:shd w:val="clear" w:color="auto" w:fill="FFFFFF"/>
          <w:rtl/>
        </w:rPr>
        <w:t>י: ואיידי דתנא</w:t>
      </w:r>
      <w:r w:rsidRPr="00243DDF">
        <w:rPr>
          <w:shd w:val="clear" w:color="auto" w:fill="FFFFFF"/>
        </w:rPr>
        <w:t xml:space="preserve"> </w:t>
      </w:r>
    </w:p>
    <w:p w14:paraId="676EAF5F" w14:textId="77777777" w:rsidR="00757E06" w:rsidRPr="00243DDF" w:rsidRDefault="00757E06" w:rsidP="00757E06">
      <w:pPr>
        <w:pStyle w:val="Heading2"/>
        <w:rPr>
          <w:shd w:val="clear" w:color="auto" w:fill="FFFFFF"/>
        </w:rPr>
      </w:pPr>
      <w:r>
        <w:rPr>
          <w:shd w:val="clear" w:color="auto" w:fill="FFFFFF"/>
          <w:rtl/>
        </w:rPr>
        <w:t>שפת אמת פסחים צ</w:t>
      </w:r>
      <w:r>
        <w:rPr>
          <w:rFonts w:hint="cs"/>
          <w:shd w:val="clear" w:color="auto" w:fill="FFFFFF"/>
          <w:rtl/>
        </w:rPr>
        <w:t>:</w:t>
      </w:r>
      <w:r w:rsidRPr="00243DDF">
        <w:rPr>
          <w:shd w:val="clear" w:color="auto" w:fill="FFFFFF"/>
        </w:rPr>
        <w:t xml:space="preserve"> </w:t>
      </w:r>
    </w:p>
    <w:p w14:paraId="1C4ACB5F" w14:textId="77777777" w:rsidR="00757E06" w:rsidRPr="00243DDF" w:rsidRDefault="00757E06" w:rsidP="00757E06">
      <w:r w:rsidRPr="00243DDF">
        <w:rPr>
          <w:rtl/>
        </w:rPr>
        <w:t>בגמ' ור"ש כתי' בראשון איש איש אין אשה לא לכאורה קשה דבל"ז נמי הא פסח הוא מ"ע שהזמ"ג ולא צריך קרא למעט דנשים פטורות אך י"ל דכיון דפסח הוא עשה שיש בה כרת הי' ס"ד לומר דנשים חייבות בה [כמ"ש התוס' במגילה (כ') ד"ה דכתי' דמה"ט אצטריך קרא לפטור נשים למול את בניהם וגם לתי' הב' שם בתוס' י"ל דדוקא במילה א"צ קרא כיון דליכא כרת אלא בגדול שלא מל עצמו אבל על האב ליכא כרת משא"כ בפסח דמי שלא הקריב פסחו ענוש כרת י"ל דנשים נמי חייבות משום דהוקשה אשה לאיש לכל עונשין שבתורה</w:t>
      </w:r>
      <w:r w:rsidRPr="00243DDF">
        <w:t>]:</w:t>
      </w:r>
    </w:p>
    <w:p w14:paraId="7C68B8A6" w14:textId="77777777" w:rsidR="00757E06" w:rsidRPr="00243DDF" w:rsidRDefault="00757E06" w:rsidP="00757E06">
      <w:pPr>
        <w:pStyle w:val="Heading2"/>
        <w:rPr>
          <w:shd w:val="clear" w:color="auto" w:fill="FFFFFF"/>
        </w:rPr>
      </w:pPr>
      <w:r w:rsidRPr="00243DDF">
        <w:rPr>
          <w:shd w:val="clear" w:color="auto" w:fill="FFFFFF"/>
          <w:rtl/>
        </w:rPr>
        <w:t>בעקבי הצאן עמ' יד</w:t>
      </w:r>
    </w:p>
    <w:p w14:paraId="5880C0E6" w14:textId="77777777" w:rsidR="00757E06" w:rsidRPr="00243DDF" w:rsidRDefault="00757E06" w:rsidP="00757E06">
      <w:pPr>
        <w:pStyle w:val="Heading2"/>
        <w:rPr>
          <w:rFonts w:ascii="Times New Roman" w:hAnsi="Times New Roman" w:cs="Times New Roman"/>
          <w:shd w:val="clear" w:color="auto" w:fill="FFFFFF"/>
        </w:rPr>
      </w:pPr>
      <w:r w:rsidRPr="00243DDF">
        <w:rPr>
          <w:shd w:val="clear" w:color="auto" w:fill="FFFFFF"/>
          <w:rtl/>
        </w:rPr>
        <w:t>ספר המצוות לרמב"ם מצות עשה קנ   </w:t>
      </w:r>
    </w:p>
    <w:p w14:paraId="5E75167D" w14:textId="77777777" w:rsidR="00757E06" w:rsidRPr="00243DDF" w:rsidRDefault="00757E06" w:rsidP="00757E06">
      <w:pPr>
        <w:rPr>
          <w:rtl/>
        </w:rPr>
      </w:pPr>
      <w:r w:rsidRPr="00243DDF">
        <w:rPr>
          <w:rtl/>
        </w:rPr>
        <w:t>והמצוה הק"נ היא שצונו לבדוק בסימני העוף גם כן. והוא שיהיו קצת מינין</w:t>
      </w:r>
      <w:r w:rsidRPr="00243DDF">
        <w:rPr>
          <w:rFonts w:hint="cs"/>
          <w:rtl/>
        </w:rPr>
        <w:t xml:space="preserve"> </w:t>
      </w:r>
      <w:r w:rsidRPr="00243DDF">
        <w:rPr>
          <w:rtl/>
        </w:rPr>
        <w:t>ממנו לבד מותרין. וסימני העוף לא נאמרו מן התורה אבל הגיעו בחקירה</w:t>
      </w:r>
      <w:r w:rsidRPr="00243DDF">
        <w:rPr>
          <w:rFonts w:hint="cs"/>
          <w:rtl/>
        </w:rPr>
        <w:t xml:space="preserve"> </w:t>
      </w:r>
      <w:r w:rsidRPr="00243DDF">
        <w:rPr>
          <w:rtl/>
        </w:rPr>
        <w:t>שאנחנו כשחפשנו כל המינין שנכתב איסורן מין אחר מין מצאנו בהםסגולות יכללו אותם והם סימני עוף טמא. והיותנו ג"כ מצווין לדון בעופותולומר זה טמא וזה טהור הוא מצות עשה. ולשון ספרי (מדרש תנאים ממדרשהגדול ראה יד) כל צפור טהורה תאכלו זו מצות עשה. הנה התבאר מה</w:t>
      </w:r>
      <w:r w:rsidRPr="00243DDF">
        <w:rPr>
          <w:rFonts w:hint="cs"/>
          <w:rtl/>
        </w:rPr>
        <w:t xml:space="preserve"> </w:t>
      </w:r>
      <w:r w:rsidRPr="00243DDF">
        <w:rPr>
          <w:rtl/>
        </w:rPr>
        <w:t>שרמזנו אליו. וכבר התבארו משפטי מצוה זו במסכת חולין (נט א סא - סהא):</w:t>
      </w:r>
    </w:p>
    <w:p w14:paraId="4CEC9892" w14:textId="77777777" w:rsidR="00757E06" w:rsidRPr="00243DDF" w:rsidRDefault="00757E06" w:rsidP="00757E06">
      <w:pPr>
        <w:pStyle w:val="Heading2"/>
        <w:rPr>
          <w:shd w:val="clear" w:color="auto" w:fill="FFFFFF"/>
        </w:rPr>
      </w:pPr>
      <w:r w:rsidRPr="00243DDF">
        <w:rPr>
          <w:shd w:val="clear" w:color="auto" w:fill="FFFFFF"/>
          <w:rtl/>
        </w:rPr>
        <w:t>ספר המצוות לרמב"ם מצות עשה קנו</w:t>
      </w:r>
    </w:p>
    <w:p w14:paraId="2BA5E6BE" w14:textId="77777777" w:rsidR="00757E06" w:rsidRPr="00243DDF" w:rsidRDefault="00757E06" w:rsidP="00757E06">
      <w:pPr>
        <w:rPr>
          <w:rtl/>
        </w:rPr>
      </w:pPr>
      <w:r w:rsidRPr="00243DDF">
        <w:rPr>
          <w:rtl/>
        </w:rPr>
        <w:t>והמצוה הקנ"ו היא שצונו לבער חמץ מבתינו ביום ארבעה עשר מניסן וזוהיא מצות השבתת שאור והוא אמרו יתעלה (בא יב) אך ביום הראשון</w:t>
      </w:r>
      <w:r w:rsidRPr="00243DDF">
        <w:rPr>
          <w:rFonts w:hint="cs"/>
          <w:rtl/>
        </w:rPr>
        <w:t xml:space="preserve"> </w:t>
      </w:r>
      <w:r w:rsidRPr="00243DDF">
        <w:rPr>
          <w:rtl/>
        </w:rPr>
        <w:t>תשביתו שאור מבתיכם. ויקראוה החכמים גם כן מצות ביעור ר"ל ביעור</w:t>
      </w:r>
      <w:r w:rsidRPr="00243DDF">
        <w:rPr>
          <w:rFonts w:hint="cs"/>
          <w:rtl/>
        </w:rPr>
        <w:t xml:space="preserve"> </w:t>
      </w:r>
      <w:r w:rsidRPr="00243DDF">
        <w:rPr>
          <w:rtl/>
        </w:rPr>
        <w:t>חמץ. ובגמר סנהדרין מתלמוד דבני מערבא (פ"ה ה"ג) אמרו חמץ חייבים</w:t>
      </w:r>
      <w:r w:rsidRPr="00243DDF">
        <w:rPr>
          <w:rFonts w:hint="cs"/>
          <w:rtl/>
        </w:rPr>
        <w:t xml:space="preserve"> </w:t>
      </w:r>
      <w:r w:rsidRPr="00243DDF">
        <w:rPr>
          <w:rtl/>
        </w:rPr>
        <w:t>עליו עשה ולא תעשה, עשה על ביעורו דכתיב תשביתו שאור מבתיכם, לאתעשה שאור לא ימצא בבתיכם (על"ת ר - רא).</w:t>
      </w:r>
      <w:r w:rsidRPr="00243DDF">
        <w:rPr>
          <w:rFonts w:hint="cs"/>
          <w:rtl/>
        </w:rPr>
        <w:t>..</w:t>
      </w:r>
      <w:r w:rsidRPr="00243DDF">
        <w:rPr>
          <w:rtl/>
        </w:rPr>
        <w:t xml:space="preserve"> </w:t>
      </w:r>
    </w:p>
    <w:p w14:paraId="1691C85D" w14:textId="77777777" w:rsidR="00757E06" w:rsidRPr="00243DDF" w:rsidRDefault="00757E06" w:rsidP="00757E06">
      <w:pPr>
        <w:pStyle w:val="Heading2"/>
        <w:rPr>
          <w:shd w:val="clear" w:color="auto" w:fill="FFFFFF"/>
        </w:rPr>
      </w:pPr>
      <w:r w:rsidRPr="00243DDF">
        <w:rPr>
          <w:shd w:val="clear" w:color="auto" w:fill="FFFFFF"/>
          <w:rtl/>
        </w:rPr>
        <w:t>משנה ברורה תרמ:לא</w:t>
      </w:r>
    </w:p>
    <w:p w14:paraId="71C05A3E" w14:textId="77777777" w:rsidR="00757E06" w:rsidRPr="00243DDF" w:rsidRDefault="00757E06" w:rsidP="00757E06">
      <w:pPr>
        <w:rPr>
          <w:rtl/>
        </w:rPr>
      </w:pPr>
      <w:r w:rsidRPr="00243DDF">
        <w:rPr>
          <w:rtl/>
        </w:rPr>
        <w:t>בפ"מ מסתפק</w:t>
      </w:r>
      <w:r w:rsidRPr="00243DDF">
        <w:rPr>
          <w:rFonts w:hint="cs"/>
          <w:rtl/>
        </w:rPr>
        <w:t xml:space="preserve"> </w:t>
      </w:r>
      <w:r w:rsidRPr="00243DDF">
        <w:rPr>
          <w:rtl/>
        </w:rPr>
        <w:t>לענין אונן בחוה"מ או אפילו ביו"ט כשרוצה לקבור ע"י נכרי ביו"ט ראשון או</w:t>
      </w:r>
      <w:r w:rsidRPr="00243DDF">
        <w:rPr>
          <w:rFonts w:hint="cs"/>
          <w:rtl/>
        </w:rPr>
        <w:t xml:space="preserve"> </w:t>
      </w:r>
      <w:r w:rsidRPr="00243DDF">
        <w:rPr>
          <w:rtl/>
        </w:rPr>
        <w:t>ע"י ישראל ביו"ט שני דאז חל דיני אנינות [מז] אם חייב בסוכה ע"ש ובספרבכורי יעקב מצדד [מח] שהוא פטור ע"ש</w:t>
      </w:r>
    </w:p>
    <w:p w14:paraId="7B530125" w14:textId="77777777" w:rsidR="00757E06" w:rsidRPr="00243DDF" w:rsidRDefault="00757E06" w:rsidP="00757E06">
      <w:pPr>
        <w:pStyle w:val="Heading2"/>
        <w:rPr>
          <w:shd w:val="clear" w:color="auto" w:fill="FFFFFF"/>
          <w:rtl/>
        </w:rPr>
      </w:pPr>
      <w:r w:rsidRPr="00243DDF">
        <w:rPr>
          <w:shd w:val="clear" w:color="auto" w:fill="FFFFFF"/>
          <w:rtl/>
        </w:rPr>
        <w:t>מפניני הרב עמ' תיג</w:t>
      </w:r>
    </w:p>
    <w:p w14:paraId="1E1C7CB5" w14:textId="77777777" w:rsidR="00757E06" w:rsidRPr="00243DDF" w:rsidRDefault="00757E06" w:rsidP="00757E06">
      <w:pPr>
        <w:pStyle w:val="Heading2"/>
        <w:rPr>
          <w:shd w:val="clear" w:color="auto" w:fill="FFFFFF"/>
          <w:rtl/>
        </w:rPr>
      </w:pPr>
      <w:r w:rsidRPr="00243DDF">
        <w:rPr>
          <w:shd w:val="clear" w:color="auto" w:fill="FFFFFF"/>
          <w:rtl/>
        </w:rPr>
        <w:t>תוספות מגילה כ. ד"ה דכתיב</w:t>
      </w:r>
    </w:p>
    <w:p w14:paraId="45E8EC58" w14:textId="77777777" w:rsidR="00757E06" w:rsidRPr="00243DDF" w:rsidRDefault="00757E06" w:rsidP="00757E06">
      <w:pPr>
        <w:rPr>
          <w:rtl/>
        </w:rPr>
      </w:pPr>
      <w:r w:rsidRPr="00243DDF">
        <w:rPr>
          <w:rFonts w:hint="cs"/>
          <w:rtl/>
        </w:rPr>
        <w:t>...</w:t>
      </w:r>
      <w:r w:rsidRPr="00243DDF">
        <w:rPr>
          <w:rtl/>
        </w:rPr>
        <w:t>והקשה ה"ר אפרים כיון דמילה אינה בלילה אם</w:t>
      </w:r>
      <w:r w:rsidRPr="00243DDF">
        <w:rPr>
          <w:rFonts w:hint="cs"/>
          <w:rtl/>
        </w:rPr>
        <w:t xml:space="preserve"> </w:t>
      </w:r>
      <w:r w:rsidRPr="00243DDF">
        <w:rPr>
          <w:rtl/>
        </w:rPr>
        <w:t>כן הויא מצות עשה שהזמן גרמא שהנשים פטורות ממנה וא"כ קשיא למה לי</w:t>
      </w:r>
      <w:r w:rsidRPr="00243DDF">
        <w:rPr>
          <w:rFonts w:hint="cs"/>
          <w:rtl/>
        </w:rPr>
        <w:t xml:space="preserve"> </w:t>
      </w:r>
      <w:r w:rsidRPr="00243DDF">
        <w:rPr>
          <w:rtl/>
        </w:rPr>
        <w:t>בפ"ק דקדושין (דף כט. ושם) קרא דאותו לומר דאשה אינה חייבת למול</w:t>
      </w:r>
      <w:r w:rsidRPr="00243DDF">
        <w:rPr>
          <w:rFonts w:hint="cs"/>
          <w:rtl/>
        </w:rPr>
        <w:t xml:space="preserve"> </w:t>
      </w:r>
      <w:r w:rsidRPr="00243DDF">
        <w:rPr>
          <w:rtl/>
        </w:rPr>
        <w:t>תיפוק ליה דמצות עשה שהזמן גרמא היא וי"ל דאי לאו אותו הוה אמינא</w:t>
      </w:r>
      <w:r w:rsidRPr="00243DDF">
        <w:rPr>
          <w:rFonts w:hint="cs"/>
          <w:rtl/>
        </w:rPr>
        <w:t xml:space="preserve"> </w:t>
      </w:r>
      <w:r w:rsidRPr="00243DDF">
        <w:rPr>
          <w:rtl/>
        </w:rPr>
        <w:t>דהאי דנשים פטורות ממצות עשה שהזמן גרמא היינו היכא דליכא כרת</w:t>
      </w:r>
      <w:r w:rsidRPr="00243DDF">
        <w:rPr>
          <w:rFonts w:hint="cs"/>
          <w:rtl/>
        </w:rPr>
        <w:t xml:space="preserve"> </w:t>
      </w:r>
      <w:r w:rsidRPr="00243DDF">
        <w:rPr>
          <w:rtl/>
        </w:rPr>
        <w:t>דומיא דמצה ושמחה והקהל דלית בהו כרת ומנייהו ממעטינן נשים אבל</w:t>
      </w:r>
      <w:r w:rsidRPr="00243DDF">
        <w:rPr>
          <w:rFonts w:hint="cs"/>
          <w:rtl/>
        </w:rPr>
        <w:t xml:space="preserve"> </w:t>
      </w:r>
      <w:r w:rsidRPr="00243DDF">
        <w:rPr>
          <w:rtl/>
        </w:rPr>
        <w:t>מילה שיש בה כרת ונכרתו עליה שלש עשרה בריתות הוה אמינא דמחייב</w:t>
      </w:r>
      <w:r w:rsidRPr="00243DDF">
        <w:rPr>
          <w:rFonts w:hint="cs"/>
          <w:rtl/>
        </w:rPr>
        <w:t xml:space="preserve"> </w:t>
      </w:r>
      <w:r w:rsidRPr="00243DDF">
        <w:rPr>
          <w:rtl/>
        </w:rPr>
        <w:t>בהו נשים למול את בנייהו קמ"ל אותו דלא אי נמי למילה שלא בזמנה וכמאן</w:t>
      </w:r>
      <w:r w:rsidRPr="00243DDF">
        <w:rPr>
          <w:rFonts w:hint="cs"/>
          <w:rtl/>
        </w:rPr>
        <w:t xml:space="preserve"> </w:t>
      </w:r>
      <w:r w:rsidRPr="00243DDF">
        <w:rPr>
          <w:rtl/>
        </w:rPr>
        <w:t>דאמר דנוהגין בין ביום בין בלילה.</w:t>
      </w:r>
    </w:p>
    <w:sectPr w:rsidR="00757E06" w:rsidRPr="00243DD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EBBB" w14:textId="77777777" w:rsidR="000E4991" w:rsidRDefault="000E4991" w:rsidP="009F4441">
      <w:pPr>
        <w:spacing w:after="0" w:line="240" w:lineRule="auto"/>
      </w:pPr>
      <w:r>
        <w:separator/>
      </w:r>
    </w:p>
  </w:endnote>
  <w:endnote w:type="continuationSeparator" w:id="0">
    <w:p w14:paraId="6F037FFA" w14:textId="77777777" w:rsidR="000E4991" w:rsidRDefault="000E499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7D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747E" w14:textId="77777777" w:rsidR="000E4991" w:rsidRDefault="000E4991" w:rsidP="009F4441">
      <w:pPr>
        <w:spacing w:after="0" w:line="240" w:lineRule="auto"/>
      </w:pPr>
      <w:r>
        <w:separator/>
      </w:r>
    </w:p>
  </w:footnote>
  <w:footnote w:type="continuationSeparator" w:id="0">
    <w:p w14:paraId="5509BE1B" w14:textId="77777777" w:rsidR="000E4991" w:rsidRDefault="000E4991"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EB37"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000E4991">
      <w:rPr>
        <w:rFonts w:hint="cs"/>
        <w:rtl/>
      </w:rPr>
      <w:t xml:space="preserve">    פרשת השבוע ומצוותיה</w:t>
    </w:r>
  </w:p>
  <w:p w14:paraId="2259A6A0" w14:textId="77777777" w:rsidR="00E019E9" w:rsidRPr="009F4441" w:rsidRDefault="00E019E9" w:rsidP="000D7D13">
    <w:pPr>
      <w:spacing w:after="0" w:line="240" w:lineRule="auto"/>
    </w:pPr>
    <w:r w:rsidRPr="00C52284">
      <w:rPr>
        <w:rtl/>
      </w:rPr>
      <w:t>‏</w:t>
    </w:r>
    <w:r>
      <w:rPr>
        <w:rFonts w:hint="cs"/>
        <w:rtl/>
      </w:rPr>
      <w:t>‏</w:t>
    </w:r>
    <w:r w:rsidR="000E4991" w:rsidRPr="000E4991">
      <w:rPr>
        <w:rtl/>
      </w:rPr>
      <w:t>‏ב' שבט תשע"ט</w:t>
    </w:r>
    <w:r w:rsidR="000E4991" w:rsidRPr="000E4991">
      <w:rPr>
        <w:rtl/>
      </w:rPr>
      <w:tab/>
    </w:r>
    <w:r w:rsidR="000E4991" w:rsidRPr="000E4991">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91"/>
    <w:rsid w:val="000C25FD"/>
    <w:rsid w:val="000D7D13"/>
    <w:rsid w:val="000E4991"/>
    <w:rsid w:val="001A3E2F"/>
    <w:rsid w:val="0021352B"/>
    <w:rsid w:val="002D7162"/>
    <w:rsid w:val="0036376A"/>
    <w:rsid w:val="00417CBC"/>
    <w:rsid w:val="005D44AE"/>
    <w:rsid w:val="00654888"/>
    <w:rsid w:val="006A5AB6"/>
    <w:rsid w:val="00757E06"/>
    <w:rsid w:val="00771609"/>
    <w:rsid w:val="0090084D"/>
    <w:rsid w:val="009F4441"/>
    <w:rsid w:val="00C47AA7"/>
    <w:rsid w:val="00D37F85"/>
    <w:rsid w:val="00E019E9"/>
    <w:rsid w:val="00F5088F"/>
    <w:rsid w:val="00F914BC"/>
    <w:rsid w:val="00F91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D218"/>
  <w15:chartTrackingRefBased/>
  <w15:docId w15:val="{1C611CBC-79F7-47A7-BACB-BFDBDD68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48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654888"/>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757E06"/>
    <w:rPr>
      <w:rFonts w:ascii="Narkisim" w:hAnsi="Narkisim" w:cs="Narkisim"/>
      <w:sz w:val="20"/>
      <w:szCs w:val="20"/>
    </w:rPr>
  </w:style>
  <w:style w:type="paragraph" w:styleId="FootnoteText">
    <w:name w:val="footnote text"/>
    <w:basedOn w:val="Normal"/>
    <w:link w:val="FootnoteTextChar"/>
    <w:uiPriority w:val="99"/>
    <w:unhideWhenUsed/>
    <w:rsid w:val="00757E06"/>
    <w:pPr>
      <w:spacing w:after="0" w:line="240" w:lineRule="auto"/>
    </w:pPr>
    <w:rPr>
      <w:sz w:val="20"/>
      <w:szCs w:val="20"/>
    </w:rPr>
  </w:style>
  <w:style w:type="character" w:customStyle="1" w:styleId="FootnoteTextChar1">
    <w:name w:val="Footnote Text Char1"/>
    <w:basedOn w:val="DefaultParagraphFont"/>
    <w:uiPriority w:val="99"/>
    <w:semiHidden/>
    <w:rsid w:val="00757E06"/>
    <w:rPr>
      <w:rFonts w:ascii="Narkisim" w:hAnsi="Narkisim" w:cs="Narkisim"/>
      <w:sz w:val="20"/>
      <w:szCs w:val="20"/>
    </w:rPr>
  </w:style>
  <w:style w:type="character" w:styleId="FootnoteReference">
    <w:name w:val="footnote reference"/>
    <w:basedOn w:val="DefaultParagraphFont"/>
    <w:uiPriority w:val="99"/>
    <w:semiHidden/>
    <w:unhideWhenUsed/>
    <w:rsid w:val="00757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21</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13</cp:revision>
  <dcterms:created xsi:type="dcterms:W3CDTF">2019-01-08T17:08:00Z</dcterms:created>
  <dcterms:modified xsi:type="dcterms:W3CDTF">2019-01-08T17:47:00Z</dcterms:modified>
</cp:coreProperties>
</file>