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60684"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1B9143EF" w14:textId="4477A46B" w:rsidR="009F4441" w:rsidRDefault="00EC0BDE" w:rsidP="00146D43">
      <w:pPr>
        <w:pStyle w:val="Subtitle"/>
      </w:pPr>
      <w:r>
        <w:rPr>
          <w:rFonts w:hint="cs"/>
          <w:rtl/>
        </w:rPr>
        <w:t>מאכלי עכו"ם</w:t>
      </w:r>
    </w:p>
    <w:p w14:paraId="569C71D6" w14:textId="307742ED" w:rsidR="00A14E41" w:rsidRDefault="00A14E41" w:rsidP="00A14E41">
      <w:pPr>
        <w:pStyle w:val="Heading1"/>
        <w:rPr>
          <w:rFonts w:hint="cs"/>
        </w:rPr>
      </w:pPr>
      <w:r>
        <w:rPr>
          <w:rFonts w:hint="cs"/>
          <w:rtl/>
        </w:rPr>
        <w:t>סדר הגזירות</w:t>
      </w:r>
    </w:p>
    <w:p w14:paraId="2EE7DCCD" w14:textId="4B4CA681" w:rsidR="009F4441" w:rsidRDefault="00A1717D" w:rsidP="009F4441">
      <w:pPr>
        <w:pStyle w:val="Heading2"/>
        <w:rPr>
          <w:rtl/>
        </w:rPr>
      </w:pPr>
      <w:r>
        <w:rPr>
          <w:rFonts w:hint="cs"/>
          <w:rtl/>
        </w:rPr>
        <w:t xml:space="preserve">בית יוסף יורה דעה </w:t>
      </w:r>
      <w:proofErr w:type="spellStart"/>
      <w:r>
        <w:rPr>
          <w:rFonts w:hint="cs"/>
          <w:rtl/>
        </w:rPr>
        <w:t>קכג:א</w:t>
      </w:r>
      <w:proofErr w:type="spellEnd"/>
    </w:p>
    <w:p w14:paraId="5FF36336" w14:textId="7199580A" w:rsidR="00E21379" w:rsidRPr="00E21379" w:rsidRDefault="00E21379" w:rsidP="00E21379">
      <w:pPr>
        <w:pStyle w:val="Heading1"/>
        <w:rPr>
          <w:rFonts w:hint="cs"/>
          <w:rtl/>
        </w:rPr>
      </w:pPr>
      <w:r>
        <w:rPr>
          <w:rFonts w:hint="cs"/>
          <w:rtl/>
        </w:rPr>
        <w:t xml:space="preserve">פת </w:t>
      </w:r>
      <w:proofErr w:type="spellStart"/>
      <w:r>
        <w:rPr>
          <w:rFonts w:hint="cs"/>
          <w:rtl/>
        </w:rPr>
        <w:t>פלטר</w:t>
      </w:r>
      <w:proofErr w:type="spellEnd"/>
    </w:p>
    <w:p w14:paraId="13BADB26" w14:textId="697B1E59" w:rsidR="000C25FD" w:rsidRDefault="005C1ADD" w:rsidP="005C1ADD">
      <w:pPr>
        <w:pStyle w:val="Heading2"/>
        <w:rPr>
          <w:rtl/>
        </w:rPr>
      </w:pPr>
      <w:r>
        <w:rPr>
          <w:rFonts w:hint="cs"/>
          <w:rtl/>
        </w:rPr>
        <w:t xml:space="preserve">שלחן ערוך יורה דעה </w:t>
      </w:r>
      <w:proofErr w:type="spellStart"/>
      <w:r>
        <w:rPr>
          <w:rFonts w:hint="cs"/>
          <w:rtl/>
        </w:rPr>
        <w:t>קיב:ב</w:t>
      </w:r>
      <w:proofErr w:type="spellEnd"/>
    </w:p>
    <w:p w14:paraId="33483917" w14:textId="2DBCAE87" w:rsidR="005C1ADD" w:rsidRDefault="005C1ADD" w:rsidP="005C1ADD">
      <w:pPr>
        <w:rPr>
          <w:sz w:val="18"/>
          <w:szCs w:val="18"/>
          <w:rtl/>
        </w:rPr>
      </w:pPr>
      <w:r w:rsidRPr="005C1ADD">
        <w:rPr>
          <w:rtl/>
        </w:rPr>
        <w:t xml:space="preserve">יש מקומות </w:t>
      </w:r>
      <w:proofErr w:type="spellStart"/>
      <w:r w:rsidRPr="005C1ADD">
        <w:rPr>
          <w:rtl/>
        </w:rPr>
        <w:t>שמקילין</w:t>
      </w:r>
      <w:proofErr w:type="spellEnd"/>
      <w:r w:rsidRPr="005C1ADD">
        <w:rPr>
          <w:rtl/>
        </w:rPr>
        <w:t xml:space="preserve"> בדבר ולוקחים פת מנחתום העובד כוכבים במקום שאין שם נחתום ישראל מפני שהיא שעת הדחק </w:t>
      </w:r>
      <w:r w:rsidRPr="005C1ADD">
        <w:rPr>
          <w:sz w:val="18"/>
          <w:szCs w:val="18"/>
          <w:rtl/>
        </w:rPr>
        <w:t xml:space="preserve">(וי"א </w:t>
      </w:r>
      <w:proofErr w:type="spellStart"/>
      <w:r w:rsidRPr="005C1ADD">
        <w:rPr>
          <w:sz w:val="18"/>
          <w:szCs w:val="18"/>
          <w:rtl/>
        </w:rPr>
        <w:t>דאפילו</w:t>
      </w:r>
      <w:proofErr w:type="spellEnd"/>
      <w:r w:rsidRPr="005C1ADD">
        <w:rPr>
          <w:sz w:val="18"/>
          <w:szCs w:val="18"/>
          <w:rtl/>
        </w:rPr>
        <w:t xml:space="preserve"> במקום שפת ישראל מצוי שרי) (ב"י לדעת </w:t>
      </w:r>
      <w:proofErr w:type="spellStart"/>
      <w:r w:rsidRPr="005C1ADD">
        <w:rPr>
          <w:sz w:val="18"/>
          <w:szCs w:val="18"/>
          <w:rtl/>
        </w:rPr>
        <w:t>המרדכי</w:t>
      </w:r>
      <w:proofErr w:type="spellEnd"/>
      <w:r w:rsidRPr="005C1ADD">
        <w:rPr>
          <w:sz w:val="18"/>
          <w:szCs w:val="18"/>
          <w:rtl/>
        </w:rPr>
        <w:t xml:space="preserve"> וסמ"ק והג"א </w:t>
      </w:r>
      <w:proofErr w:type="spellStart"/>
      <w:r w:rsidRPr="005C1ADD">
        <w:rPr>
          <w:sz w:val="18"/>
          <w:szCs w:val="18"/>
          <w:rtl/>
        </w:rPr>
        <w:t>ומהרא"י</w:t>
      </w:r>
      <w:proofErr w:type="spellEnd"/>
      <w:r w:rsidRPr="005C1ADD">
        <w:rPr>
          <w:sz w:val="18"/>
          <w:szCs w:val="18"/>
          <w:rtl/>
        </w:rPr>
        <w:t xml:space="preserve"> </w:t>
      </w:r>
      <w:proofErr w:type="spellStart"/>
      <w:r w:rsidRPr="005C1ADD">
        <w:rPr>
          <w:sz w:val="18"/>
          <w:szCs w:val="18"/>
          <w:rtl/>
        </w:rPr>
        <w:t>ואו"ה</w:t>
      </w:r>
      <w:proofErr w:type="spellEnd"/>
      <w:r w:rsidRPr="005C1ADD">
        <w:rPr>
          <w:sz w:val="18"/>
          <w:szCs w:val="18"/>
          <w:rtl/>
        </w:rPr>
        <w:t xml:space="preserve"> ריש כלל מ"ד) </w:t>
      </w:r>
      <w:r w:rsidRPr="005C1ADD">
        <w:rPr>
          <w:rtl/>
        </w:rPr>
        <w:t xml:space="preserve">אבל פת של בעלי בתים אין שם מי שמורה בה להקל שעיקר הגזרה משום </w:t>
      </w:r>
      <w:proofErr w:type="spellStart"/>
      <w:r w:rsidRPr="005C1ADD">
        <w:rPr>
          <w:rtl/>
        </w:rPr>
        <w:t>חתנות</w:t>
      </w:r>
      <w:proofErr w:type="spellEnd"/>
      <w:r w:rsidRPr="005C1ADD">
        <w:rPr>
          <w:rtl/>
        </w:rPr>
        <w:t xml:space="preserve"> ואם יאכל פת בעלי בתים יבא לסעוד אצלם: </w:t>
      </w:r>
      <w:r w:rsidRPr="005C1ADD">
        <w:rPr>
          <w:sz w:val="18"/>
          <w:szCs w:val="18"/>
          <w:rtl/>
        </w:rPr>
        <w:t xml:space="preserve">הגה ולא מיקרי פת בעל הבית אלא אם </w:t>
      </w:r>
      <w:proofErr w:type="spellStart"/>
      <w:r w:rsidRPr="005C1ADD">
        <w:rPr>
          <w:sz w:val="18"/>
          <w:szCs w:val="18"/>
          <w:rtl/>
        </w:rPr>
        <w:t>עשאו</w:t>
      </w:r>
      <w:proofErr w:type="spellEnd"/>
      <w:r w:rsidRPr="005C1ADD">
        <w:rPr>
          <w:sz w:val="18"/>
          <w:szCs w:val="18"/>
          <w:rtl/>
        </w:rPr>
        <w:t xml:space="preserve"> לבני ביתו אבל </w:t>
      </w:r>
      <w:proofErr w:type="spellStart"/>
      <w:r w:rsidRPr="005C1ADD">
        <w:rPr>
          <w:sz w:val="18"/>
          <w:szCs w:val="18"/>
          <w:rtl/>
        </w:rPr>
        <w:t>עשאו</w:t>
      </w:r>
      <w:proofErr w:type="spellEnd"/>
      <w:r w:rsidRPr="005C1ADD">
        <w:rPr>
          <w:sz w:val="18"/>
          <w:szCs w:val="18"/>
          <w:rtl/>
        </w:rPr>
        <w:t xml:space="preserve"> למכור מיקרי </w:t>
      </w:r>
      <w:proofErr w:type="spellStart"/>
      <w:r w:rsidRPr="005C1ADD">
        <w:rPr>
          <w:sz w:val="18"/>
          <w:szCs w:val="18"/>
          <w:rtl/>
        </w:rPr>
        <w:t>פלטר</w:t>
      </w:r>
      <w:proofErr w:type="spellEnd"/>
      <w:r w:rsidRPr="005C1ADD">
        <w:rPr>
          <w:sz w:val="18"/>
          <w:szCs w:val="18"/>
          <w:rtl/>
        </w:rPr>
        <w:t xml:space="preserve"> אע"פ שאין דרכו בכך וכן </w:t>
      </w:r>
      <w:proofErr w:type="spellStart"/>
      <w:r w:rsidRPr="005C1ADD">
        <w:rPr>
          <w:sz w:val="18"/>
          <w:szCs w:val="18"/>
          <w:rtl/>
        </w:rPr>
        <w:t>פלטר</w:t>
      </w:r>
      <w:proofErr w:type="spellEnd"/>
      <w:r w:rsidRPr="005C1ADD">
        <w:rPr>
          <w:sz w:val="18"/>
          <w:szCs w:val="18"/>
          <w:rtl/>
        </w:rPr>
        <w:t xml:space="preserve"> </w:t>
      </w:r>
      <w:proofErr w:type="spellStart"/>
      <w:r w:rsidRPr="005C1ADD">
        <w:rPr>
          <w:sz w:val="18"/>
          <w:szCs w:val="18"/>
          <w:rtl/>
        </w:rPr>
        <w:t>שעשאו</w:t>
      </w:r>
      <w:proofErr w:type="spellEnd"/>
      <w:r w:rsidRPr="005C1ADD">
        <w:rPr>
          <w:sz w:val="18"/>
          <w:szCs w:val="18"/>
          <w:rtl/>
        </w:rPr>
        <w:t xml:space="preserve"> לעצמו מיקרי בעל הבית (כך משמע בב"י):</w:t>
      </w:r>
    </w:p>
    <w:p w14:paraId="3A802BB7" w14:textId="2A4ED90A" w:rsidR="00330046" w:rsidRDefault="00451B9B" w:rsidP="00451B9B">
      <w:pPr>
        <w:pStyle w:val="Heading2"/>
        <w:rPr>
          <w:rtl/>
        </w:rPr>
      </w:pPr>
      <w:proofErr w:type="spellStart"/>
      <w:r>
        <w:rPr>
          <w:rFonts w:hint="cs"/>
          <w:rtl/>
        </w:rPr>
        <w:t>ש"ך</w:t>
      </w:r>
      <w:proofErr w:type="spellEnd"/>
      <w:r>
        <w:rPr>
          <w:rFonts w:hint="cs"/>
          <w:rtl/>
        </w:rPr>
        <w:t xml:space="preserve"> יורה דעה </w:t>
      </w:r>
      <w:proofErr w:type="spellStart"/>
      <w:r>
        <w:rPr>
          <w:rFonts w:hint="cs"/>
          <w:rtl/>
        </w:rPr>
        <w:t>קיב:ט</w:t>
      </w:r>
      <w:proofErr w:type="spellEnd"/>
    </w:p>
    <w:p w14:paraId="2DE92C00" w14:textId="00D06F16" w:rsidR="00451B9B" w:rsidRDefault="00451B9B" w:rsidP="00451B9B">
      <w:pPr>
        <w:rPr>
          <w:rtl/>
        </w:rPr>
      </w:pPr>
      <w:proofErr w:type="spellStart"/>
      <w:r w:rsidRPr="00451B9B">
        <w:rPr>
          <w:rtl/>
        </w:rPr>
        <w:t>דאפילו</w:t>
      </w:r>
      <w:proofErr w:type="spellEnd"/>
      <w:r w:rsidRPr="00451B9B">
        <w:rPr>
          <w:rtl/>
        </w:rPr>
        <w:t xml:space="preserve"> </w:t>
      </w:r>
      <w:proofErr w:type="spellStart"/>
      <w:r w:rsidRPr="00451B9B">
        <w:rPr>
          <w:rtl/>
        </w:rPr>
        <w:t>כו</w:t>
      </w:r>
      <w:proofErr w:type="spellEnd"/>
      <w:r w:rsidRPr="00451B9B">
        <w:rPr>
          <w:rtl/>
        </w:rPr>
        <w:t xml:space="preserve">'. וכתבו האחרונים והרב </w:t>
      </w:r>
      <w:proofErr w:type="spellStart"/>
      <w:r w:rsidRPr="00451B9B">
        <w:rPr>
          <w:rtl/>
        </w:rPr>
        <w:t>בת"ח</w:t>
      </w:r>
      <w:proofErr w:type="spellEnd"/>
      <w:r w:rsidRPr="00451B9B">
        <w:rPr>
          <w:rtl/>
        </w:rPr>
        <w:t xml:space="preserve"> ריש כלל ע"ה </w:t>
      </w:r>
      <w:proofErr w:type="spellStart"/>
      <w:r w:rsidRPr="00451B9B">
        <w:rPr>
          <w:rtl/>
        </w:rPr>
        <w:t>והב"ח</w:t>
      </w:r>
      <w:proofErr w:type="spellEnd"/>
      <w:r w:rsidRPr="00451B9B">
        <w:rPr>
          <w:rtl/>
        </w:rPr>
        <w:t xml:space="preserve"> שכן נתפשט המנהג מיהו כתב </w:t>
      </w:r>
      <w:proofErr w:type="spellStart"/>
      <w:r w:rsidRPr="00451B9B">
        <w:rPr>
          <w:rtl/>
        </w:rPr>
        <w:t>בת"ח</w:t>
      </w:r>
      <w:proofErr w:type="spellEnd"/>
      <w:r w:rsidRPr="00451B9B">
        <w:rPr>
          <w:rtl/>
        </w:rPr>
        <w:t xml:space="preserve"> שם בשם הפוסקים דבי' ימי התשובה יש ליזהר בפת של עובדי כוכבים וכן נתבאר </w:t>
      </w:r>
      <w:proofErr w:type="spellStart"/>
      <w:r w:rsidRPr="00451B9B">
        <w:rPr>
          <w:rtl/>
        </w:rPr>
        <w:t>בא"ח</w:t>
      </w:r>
      <w:proofErr w:type="spellEnd"/>
      <w:r w:rsidRPr="00451B9B">
        <w:rPr>
          <w:rtl/>
        </w:rPr>
        <w:t xml:space="preserve"> סימן תר"ב ס"ב ע"ש מיהו נראה דיש ליזהר אף כל ימות השנה שלא </w:t>
      </w:r>
      <w:proofErr w:type="spellStart"/>
      <w:r w:rsidRPr="00451B9B">
        <w:rPr>
          <w:rtl/>
        </w:rPr>
        <w:t>ליקח</w:t>
      </w:r>
      <w:proofErr w:type="spellEnd"/>
      <w:r w:rsidRPr="00451B9B">
        <w:rPr>
          <w:rtl/>
        </w:rPr>
        <w:t xml:space="preserve"> פת של עובד כוכבים מן </w:t>
      </w:r>
      <w:proofErr w:type="spellStart"/>
      <w:r w:rsidRPr="00451B9B">
        <w:rPr>
          <w:rtl/>
        </w:rPr>
        <w:t>הפלטר</w:t>
      </w:r>
      <w:proofErr w:type="spellEnd"/>
      <w:r w:rsidRPr="00451B9B">
        <w:rPr>
          <w:rtl/>
        </w:rPr>
        <w:t xml:space="preserve"> </w:t>
      </w:r>
      <w:proofErr w:type="spellStart"/>
      <w:r w:rsidRPr="00451B9B">
        <w:rPr>
          <w:rtl/>
        </w:rPr>
        <w:t>היכא</w:t>
      </w:r>
      <w:proofErr w:type="spellEnd"/>
      <w:r w:rsidRPr="00451B9B">
        <w:rPr>
          <w:rtl/>
        </w:rPr>
        <w:t xml:space="preserve"> דיש </w:t>
      </w:r>
      <w:proofErr w:type="spellStart"/>
      <w:r w:rsidRPr="00451B9B">
        <w:rPr>
          <w:rtl/>
        </w:rPr>
        <w:t>פלטר</w:t>
      </w:r>
      <w:proofErr w:type="spellEnd"/>
      <w:r w:rsidRPr="00451B9B">
        <w:rPr>
          <w:rtl/>
        </w:rPr>
        <w:t xml:space="preserve"> ישראל אם לא שהפת עובד כוכבים יפה יותר דאז שרי כדלקמן ס"ה:</w:t>
      </w:r>
    </w:p>
    <w:p w14:paraId="3A4768BE" w14:textId="2238A2FF" w:rsidR="00A83190" w:rsidRDefault="00A83190" w:rsidP="005B6251">
      <w:pPr>
        <w:pStyle w:val="Heading1"/>
        <w:rPr>
          <w:rtl/>
        </w:rPr>
      </w:pPr>
      <w:r>
        <w:rPr>
          <w:rFonts w:hint="cs"/>
          <w:rtl/>
        </w:rPr>
        <w:t xml:space="preserve">בישול עכו"ם </w:t>
      </w:r>
      <w:r>
        <w:rPr>
          <w:rtl/>
        </w:rPr>
        <w:t>–</w:t>
      </w:r>
      <w:r>
        <w:rPr>
          <w:rFonts w:hint="cs"/>
          <w:rtl/>
        </w:rPr>
        <w:t xml:space="preserve"> ללפת בו את הפת</w:t>
      </w:r>
    </w:p>
    <w:p w14:paraId="71D1DB56" w14:textId="3C342409" w:rsidR="00A83190" w:rsidRDefault="00A83190" w:rsidP="00A83190">
      <w:pPr>
        <w:pStyle w:val="Heading2"/>
        <w:rPr>
          <w:rtl/>
        </w:rPr>
      </w:pPr>
      <w:r>
        <w:rPr>
          <w:rFonts w:hint="cs"/>
          <w:rtl/>
        </w:rPr>
        <w:t xml:space="preserve">ערוך </w:t>
      </w:r>
      <w:proofErr w:type="spellStart"/>
      <w:r>
        <w:rPr>
          <w:rFonts w:hint="cs"/>
          <w:rtl/>
        </w:rPr>
        <w:t>השלחן</w:t>
      </w:r>
      <w:proofErr w:type="spellEnd"/>
      <w:r>
        <w:rPr>
          <w:rFonts w:hint="cs"/>
          <w:rtl/>
        </w:rPr>
        <w:t xml:space="preserve"> יורה דעה </w:t>
      </w:r>
      <w:proofErr w:type="spellStart"/>
      <w:r>
        <w:rPr>
          <w:rFonts w:hint="cs"/>
          <w:rtl/>
        </w:rPr>
        <w:t>קיג:ו-ז</w:t>
      </w:r>
      <w:proofErr w:type="spellEnd"/>
    </w:p>
    <w:p w14:paraId="72FA4208" w14:textId="77777777" w:rsidR="00A83190" w:rsidRDefault="00A83190" w:rsidP="00A83190">
      <w:pPr>
        <w:rPr>
          <w:rtl/>
        </w:rPr>
      </w:pPr>
      <w:r>
        <w:rPr>
          <w:rtl/>
        </w:rPr>
        <w:t xml:space="preserve">בגמ' [ל"ח א] איתא כל שאינו עולה על שלחן מלכים ללפת בו את הפת אין בו משום בשולי וכו' וכ"כ הרמב"ם </w:t>
      </w:r>
      <w:proofErr w:type="spellStart"/>
      <w:r>
        <w:rPr>
          <w:rtl/>
        </w:rPr>
        <w:t>בפי"ז</w:t>
      </w:r>
      <w:proofErr w:type="spellEnd"/>
      <w:r>
        <w:rPr>
          <w:rtl/>
        </w:rPr>
        <w:t xml:space="preserve"> דין ט"ו וביאר הטעם שמפני שעיקר הגזירה הוא משום </w:t>
      </w:r>
      <w:proofErr w:type="spellStart"/>
      <w:r>
        <w:rPr>
          <w:rtl/>
        </w:rPr>
        <w:t>חתנות</w:t>
      </w:r>
      <w:proofErr w:type="spellEnd"/>
      <w:r>
        <w:rPr>
          <w:rtl/>
        </w:rPr>
        <w:t xml:space="preserve"> שלא יזמנו אצלו בסעודה ודבר שאינו עולה על שלחן מלכים לאכול בו את הפת אין אדם מזמן את </w:t>
      </w:r>
      <w:proofErr w:type="spellStart"/>
      <w:r>
        <w:rPr>
          <w:rtl/>
        </w:rPr>
        <w:t>חבירו</w:t>
      </w:r>
      <w:proofErr w:type="spellEnd"/>
      <w:r>
        <w:rPr>
          <w:rtl/>
        </w:rPr>
        <w:t xml:space="preserve"> עליו עכ"ל ומלשון זה משמע </w:t>
      </w:r>
      <w:proofErr w:type="spellStart"/>
      <w:r>
        <w:rPr>
          <w:rtl/>
        </w:rPr>
        <w:t>דדבר</w:t>
      </w:r>
      <w:proofErr w:type="spellEnd"/>
      <w:r>
        <w:rPr>
          <w:rtl/>
        </w:rPr>
        <w:t xml:space="preserve"> שאינו ללפת בו את הפת אפילו הוא דבר של חשיבות כמו מיני פרפראות החשובים כיון שאינו ללפת את הפת לית לן בה אף אם אין נאכלים כמו שהם חיים וכ"כ אחד מגדולי אחרונים שזהו דעת הרמב"ם וכן עיקר </w:t>
      </w:r>
      <w:proofErr w:type="spellStart"/>
      <w:r>
        <w:rPr>
          <w:rtl/>
        </w:rPr>
        <w:t>לדינא</w:t>
      </w:r>
      <w:proofErr w:type="spellEnd"/>
      <w:r>
        <w:rPr>
          <w:rtl/>
        </w:rPr>
        <w:t xml:space="preserve"> [פר"ח </w:t>
      </w:r>
      <w:proofErr w:type="spellStart"/>
      <w:r>
        <w:rPr>
          <w:rtl/>
        </w:rPr>
        <w:t>סק"ג</w:t>
      </w:r>
      <w:proofErr w:type="spellEnd"/>
      <w:r>
        <w:rPr>
          <w:rtl/>
        </w:rPr>
        <w:t xml:space="preserve">]:  </w:t>
      </w:r>
    </w:p>
    <w:p w14:paraId="37574204" w14:textId="41BB1E74" w:rsidR="00A83190" w:rsidRPr="00A83190" w:rsidRDefault="00A83190" w:rsidP="006A3816">
      <w:pPr>
        <w:rPr>
          <w:rtl/>
        </w:rPr>
      </w:pPr>
      <w:r>
        <w:rPr>
          <w:rtl/>
        </w:rPr>
        <w:t xml:space="preserve">אבל הטור </w:t>
      </w:r>
      <w:proofErr w:type="spellStart"/>
      <w:r>
        <w:rPr>
          <w:rtl/>
        </w:rPr>
        <w:t>והש"ע</w:t>
      </w:r>
      <w:proofErr w:type="spellEnd"/>
      <w:r>
        <w:rPr>
          <w:rtl/>
        </w:rPr>
        <w:t xml:space="preserve"> סעיף א' כתבו דבר שאינו נאכל כמו שהוא חי וגם עולה על שלחן מלכים ללפת בו את הפת או לפרפרת וכו' אסור משום בישולי כוכבים עכ"ל ונראה שדעתם כן הוא </w:t>
      </w:r>
      <w:proofErr w:type="spellStart"/>
      <w:r>
        <w:rPr>
          <w:rtl/>
        </w:rPr>
        <w:t>דזה</w:t>
      </w:r>
      <w:proofErr w:type="spellEnd"/>
      <w:r>
        <w:rPr>
          <w:rtl/>
        </w:rPr>
        <w:t xml:space="preserve"> שאמרו חז"ל ללפת בו את הפת לאו דווקא הוא </w:t>
      </w:r>
      <w:proofErr w:type="spellStart"/>
      <w:r>
        <w:rPr>
          <w:rtl/>
        </w:rPr>
        <w:t>ואורחא</w:t>
      </w:r>
      <w:proofErr w:type="spellEnd"/>
      <w:r>
        <w:rPr>
          <w:rtl/>
        </w:rPr>
        <w:t xml:space="preserve"> </w:t>
      </w:r>
      <w:proofErr w:type="spellStart"/>
      <w:r>
        <w:rPr>
          <w:rtl/>
        </w:rPr>
        <w:t>דמילתא</w:t>
      </w:r>
      <w:proofErr w:type="spellEnd"/>
      <w:r>
        <w:rPr>
          <w:rtl/>
        </w:rPr>
        <w:t xml:space="preserve"> </w:t>
      </w:r>
      <w:proofErr w:type="spellStart"/>
      <w:r>
        <w:rPr>
          <w:rtl/>
        </w:rPr>
        <w:t>קאמר</w:t>
      </w:r>
      <w:proofErr w:type="spellEnd"/>
      <w:r>
        <w:rPr>
          <w:rtl/>
        </w:rPr>
        <w:t xml:space="preserve"> </w:t>
      </w:r>
      <w:proofErr w:type="spellStart"/>
      <w:r>
        <w:rPr>
          <w:rtl/>
        </w:rPr>
        <w:t>דדבר</w:t>
      </w:r>
      <w:proofErr w:type="spellEnd"/>
      <w:r>
        <w:rPr>
          <w:rtl/>
        </w:rPr>
        <w:t xml:space="preserve"> שאינו חשוב אין מעלין על שלחן מלכים ללפת בו את הפת אבל העיקר תלוי בדבר של חשיבות העולה על שלחן מלכים אע"פ שנאכל בפ"ע ולא עם הפת וגם הרמב"ם עצמו הזכיר שם בדין י"ח לשון פרפרת </w:t>
      </w:r>
      <w:proofErr w:type="spellStart"/>
      <w:r>
        <w:rPr>
          <w:rtl/>
        </w:rPr>
        <w:t>לענין</w:t>
      </w:r>
      <w:proofErr w:type="spellEnd"/>
      <w:r>
        <w:rPr>
          <w:rtl/>
        </w:rPr>
        <w:t xml:space="preserve"> פולין ועדשים ע"ש אך </w:t>
      </w:r>
      <w:proofErr w:type="spellStart"/>
      <w:r>
        <w:rPr>
          <w:rtl/>
        </w:rPr>
        <w:t>י"ל</w:t>
      </w:r>
      <w:proofErr w:type="spellEnd"/>
      <w:r>
        <w:rPr>
          <w:rtl/>
        </w:rPr>
        <w:t xml:space="preserve"> </w:t>
      </w:r>
      <w:proofErr w:type="spellStart"/>
      <w:r>
        <w:rPr>
          <w:rtl/>
        </w:rPr>
        <w:t>דכוונתו</w:t>
      </w:r>
      <w:proofErr w:type="spellEnd"/>
      <w:r>
        <w:rPr>
          <w:rtl/>
        </w:rPr>
        <w:t xml:space="preserve"> פרפרת </w:t>
      </w:r>
      <w:proofErr w:type="spellStart"/>
      <w:r>
        <w:rPr>
          <w:rtl/>
        </w:rPr>
        <w:t>שאוכלין</w:t>
      </w:r>
      <w:proofErr w:type="spellEnd"/>
      <w:r>
        <w:rPr>
          <w:rtl/>
        </w:rPr>
        <w:t xml:space="preserve"> עם הפת שכן כתב </w:t>
      </w:r>
      <w:proofErr w:type="spellStart"/>
      <w:r>
        <w:rPr>
          <w:rtl/>
        </w:rPr>
        <w:t>להדיא</w:t>
      </w:r>
      <w:proofErr w:type="spellEnd"/>
      <w:r>
        <w:rPr>
          <w:rtl/>
        </w:rPr>
        <w:t xml:space="preserve"> </w:t>
      </w:r>
      <w:proofErr w:type="spellStart"/>
      <w:r>
        <w:rPr>
          <w:rtl/>
        </w:rPr>
        <w:t>בפ"ד</w:t>
      </w:r>
      <w:proofErr w:type="spellEnd"/>
      <w:r>
        <w:rPr>
          <w:rtl/>
        </w:rPr>
        <w:t xml:space="preserve"> מברכות דין ו' וז"ל בירך על הפת פטר את הפרפרת </w:t>
      </w:r>
      <w:proofErr w:type="spellStart"/>
      <w:r>
        <w:rPr>
          <w:rtl/>
        </w:rPr>
        <w:t>שאוכלין</w:t>
      </w:r>
      <w:proofErr w:type="spellEnd"/>
      <w:r>
        <w:rPr>
          <w:rtl/>
        </w:rPr>
        <w:t xml:space="preserve"> בהן הפת וכו' עכ"ל מיהו </w:t>
      </w:r>
      <w:proofErr w:type="spellStart"/>
      <w:r>
        <w:rPr>
          <w:rtl/>
        </w:rPr>
        <w:t>לדינא</w:t>
      </w:r>
      <w:proofErr w:type="spellEnd"/>
      <w:r>
        <w:rPr>
          <w:rtl/>
        </w:rPr>
        <w:t xml:space="preserve"> כיון </w:t>
      </w:r>
      <w:proofErr w:type="spellStart"/>
      <w:r>
        <w:rPr>
          <w:rtl/>
        </w:rPr>
        <w:t>דהטור</w:t>
      </w:r>
      <w:proofErr w:type="spellEnd"/>
      <w:r>
        <w:rPr>
          <w:rtl/>
        </w:rPr>
        <w:t xml:space="preserve"> וש"ע פסקו לאיסור הכי </w:t>
      </w:r>
      <w:proofErr w:type="spellStart"/>
      <w:r>
        <w:rPr>
          <w:rtl/>
        </w:rPr>
        <w:t>קיי"ל</w:t>
      </w:r>
      <w:proofErr w:type="spellEnd"/>
      <w:r>
        <w:rPr>
          <w:rtl/>
        </w:rPr>
        <w:t xml:space="preserve"> [ומירושלמי פרק אין </w:t>
      </w:r>
      <w:proofErr w:type="spellStart"/>
      <w:r>
        <w:rPr>
          <w:rtl/>
        </w:rPr>
        <w:t>מעמידין</w:t>
      </w:r>
      <w:proofErr w:type="spellEnd"/>
      <w:r>
        <w:rPr>
          <w:rtl/>
        </w:rPr>
        <w:t xml:space="preserve"> הל' ח' משמע </w:t>
      </w:r>
      <w:proofErr w:type="spellStart"/>
      <w:r>
        <w:rPr>
          <w:rtl/>
        </w:rPr>
        <w:t>כהרמב"ם</w:t>
      </w:r>
      <w:proofErr w:type="spellEnd"/>
      <w:r>
        <w:rPr>
          <w:rtl/>
        </w:rPr>
        <w:t xml:space="preserve"> </w:t>
      </w:r>
      <w:proofErr w:type="spellStart"/>
      <w:r>
        <w:rPr>
          <w:rtl/>
        </w:rPr>
        <w:t>דאיתא</w:t>
      </w:r>
      <w:proofErr w:type="spellEnd"/>
      <w:r>
        <w:rPr>
          <w:rtl/>
        </w:rPr>
        <w:t xml:space="preserve"> שם כל אוכל שנאכל כמות שהוא חי אין בו משום בישולי נכרים עם הפת יש בו משום בישולי נכרים עכ"ל כלומר מה </w:t>
      </w:r>
      <w:proofErr w:type="spellStart"/>
      <w:r>
        <w:rPr>
          <w:rtl/>
        </w:rPr>
        <w:t>שאוכלין</w:t>
      </w:r>
      <w:proofErr w:type="spellEnd"/>
      <w:r>
        <w:rPr>
          <w:rtl/>
        </w:rPr>
        <w:t xml:space="preserve"> ללפת את הפת דבר מבושל </w:t>
      </w:r>
      <w:proofErr w:type="spellStart"/>
      <w:r>
        <w:rPr>
          <w:rtl/>
        </w:rPr>
        <w:t>דללפת</w:t>
      </w:r>
      <w:proofErr w:type="spellEnd"/>
      <w:r>
        <w:rPr>
          <w:rtl/>
        </w:rPr>
        <w:t xml:space="preserve"> פת דרכו במבושל והירושלמי לא הזכיר כלל הך </w:t>
      </w:r>
      <w:proofErr w:type="spellStart"/>
      <w:r>
        <w:rPr>
          <w:rtl/>
        </w:rPr>
        <w:t>דעולה</w:t>
      </w:r>
      <w:proofErr w:type="spellEnd"/>
      <w:r>
        <w:rPr>
          <w:rtl/>
        </w:rPr>
        <w:t xml:space="preserve"> על שולחן מלכים מיהו העיקר נראה </w:t>
      </w:r>
      <w:proofErr w:type="spellStart"/>
      <w:r>
        <w:rPr>
          <w:rtl/>
        </w:rPr>
        <w:t>דתלוי</w:t>
      </w:r>
      <w:proofErr w:type="spellEnd"/>
      <w:r>
        <w:rPr>
          <w:rtl/>
        </w:rPr>
        <w:t xml:space="preserve"> </w:t>
      </w:r>
      <w:proofErr w:type="spellStart"/>
      <w:r>
        <w:rPr>
          <w:rtl/>
        </w:rPr>
        <w:t>בללפת</w:t>
      </w:r>
      <w:proofErr w:type="spellEnd"/>
      <w:r>
        <w:rPr>
          <w:rtl/>
        </w:rPr>
        <w:t xml:space="preserve"> את הפת וצ"ע]:  </w:t>
      </w:r>
    </w:p>
    <w:p w14:paraId="624747A2" w14:textId="56920144" w:rsidR="005B6251" w:rsidRDefault="005B6251" w:rsidP="005B6251">
      <w:pPr>
        <w:pStyle w:val="Heading1"/>
        <w:rPr>
          <w:rtl/>
        </w:rPr>
      </w:pPr>
      <w:r>
        <w:rPr>
          <w:rFonts w:hint="cs"/>
          <w:rtl/>
        </w:rPr>
        <w:t xml:space="preserve">בישול עכו"ם </w:t>
      </w:r>
      <w:r>
        <w:rPr>
          <w:rtl/>
        </w:rPr>
        <w:t>–</w:t>
      </w:r>
      <w:r>
        <w:rPr>
          <w:rFonts w:hint="cs"/>
          <w:rtl/>
        </w:rPr>
        <w:t xml:space="preserve"> עולה על שלחן מלכים</w:t>
      </w:r>
    </w:p>
    <w:p w14:paraId="1A46CABB" w14:textId="77777777" w:rsidR="007E412A" w:rsidRDefault="007E412A" w:rsidP="007E412A">
      <w:pPr>
        <w:pStyle w:val="Heading2"/>
      </w:pPr>
      <w:r>
        <w:rPr>
          <w:rFonts w:hint="cs"/>
          <w:rtl/>
        </w:rPr>
        <w:t>עבודה זרה לח.</w:t>
      </w:r>
    </w:p>
    <w:p w14:paraId="1F6D78CF" w14:textId="0D7D7E09" w:rsidR="007E412A" w:rsidRPr="0037516B" w:rsidRDefault="007E412A" w:rsidP="007E412A">
      <w:pPr>
        <w:pStyle w:val="Heading2"/>
        <w:rPr>
          <w:rtl/>
        </w:rPr>
      </w:pPr>
      <w:r>
        <w:rPr>
          <w:rFonts w:hint="cs"/>
          <w:rtl/>
        </w:rPr>
        <w:lastRenderedPageBreak/>
        <w:t xml:space="preserve">חוברת מסורה כרך א עמ' פו </w:t>
      </w:r>
      <w:r>
        <w:rPr>
          <w:rtl/>
        </w:rPr>
        <w:t>–</w:t>
      </w:r>
      <w:r>
        <w:rPr>
          <w:rFonts w:hint="cs"/>
          <w:rtl/>
        </w:rPr>
        <w:t xml:space="preserve"> קונטרס </w:t>
      </w:r>
      <w:proofErr w:type="spellStart"/>
      <w:r>
        <w:rPr>
          <w:rFonts w:hint="cs"/>
          <w:rtl/>
        </w:rPr>
        <w:t>בענין</w:t>
      </w:r>
      <w:proofErr w:type="spellEnd"/>
      <w:r>
        <w:rPr>
          <w:rFonts w:hint="cs"/>
          <w:rtl/>
        </w:rPr>
        <w:t xml:space="preserve"> בישול עכו"ם, הרב מנחם </w:t>
      </w:r>
      <w:proofErr w:type="spellStart"/>
      <w:r>
        <w:rPr>
          <w:rFonts w:hint="cs"/>
          <w:rtl/>
        </w:rPr>
        <w:t>גנק</w:t>
      </w:r>
      <w:proofErr w:type="spellEnd"/>
      <w:r>
        <w:rPr>
          <w:rFonts w:hint="cs"/>
          <w:rtl/>
        </w:rPr>
        <w:t xml:space="preserve"> </w:t>
      </w:r>
      <w:r w:rsidRPr="0037516B">
        <w:rPr>
          <w:rFonts w:hint="cs"/>
          <w:rtl/>
        </w:rPr>
        <w:t>(</w:t>
      </w:r>
      <w:hyperlink r:id="rId6" w:history="1">
        <w:r w:rsidRPr="0037516B">
          <w:rPr>
            <w:rStyle w:val="Hyperlink"/>
            <w:rFonts w:hint="cs"/>
            <w:sz w:val="22"/>
            <w:szCs w:val="22"/>
            <w:rtl/>
          </w:rPr>
          <w:t>ק</w:t>
        </w:r>
        <w:r w:rsidRPr="0037516B">
          <w:rPr>
            <w:rStyle w:val="Hyperlink"/>
            <w:rFonts w:hint="cs"/>
            <w:sz w:val="22"/>
            <w:szCs w:val="22"/>
            <w:rtl/>
          </w:rPr>
          <w:t>י</w:t>
        </w:r>
        <w:r w:rsidRPr="0037516B">
          <w:rPr>
            <w:rStyle w:val="Hyperlink"/>
            <w:rFonts w:hint="cs"/>
            <w:sz w:val="22"/>
            <w:szCs w:val="22"/>
            <w:rtl/>
          </w:rPr>
          <w:t>שור</w:t>
        </w:r>
      </w:hyperlink>
      <w:r w:rsidRPr="0037516B">
        <w:rPr>
          <w:rFonts w:hint="cs"/>
          <w:rtl/>
        </w:rPr>
        <w:t>)</w:t>
      </w:r>
      <w:r>
        <w:rPr>
          <w:rStyle w:val="FootnoteReference"/>
          <w:sz w:val="22"/>
          <w:szCs w:val="22"/>
          <w:rtl/>
        </w:rPr>
        <w:footnoteReference w:id="1"/>
      </w:r>
    </w:p>
    <w:p w14:paraId="45C069ED" w14:textId="77777777" w:rsidR="007E412A" w:rsidRPr="0037516B" w:rsidRDefault="007E412A" w:rsidP="007E412A">
      <w:pPr>
        <w:rPr>
          <w:rtl/>
        </w:rPr>
      </w:pPr>
      <w:r>
        <w:rPr>
          <w:noProof/>
        </w:rPr>
        <w:drawing>
          <wp:inline distT="0" distB="0" distL="0" distR="0" wp14:anchorId="01AC82F1" wp14:editId="522802DC">
            <wp:extent cx="5943600" cy="5277485"/>
            <wp:effectExtent l="0" t="0" r="0" b="0"/>
            <wp:docPr id="696042114" name="Picture 69604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277485"/>
                    </a:xfrm>
                    <a:prstGeom prst="rect">
                      <a:avLst/>
                    </a:prstGeom>
                  </pic:spPr>
                </pic:pic>
              </a:graphicData>
            </a:graphic>
          </wp:inline>
        </w:drawing>
      </w:r>
    </w:p>
    <w:p w14:paraId="7070E41B" w14:textId="3442CD52" w:rsidR="001465A2" w:rsidRDefault="001465A2" w:rsidP="001465A2">
      <w:pPr>
        <w:pStyle w:val="Heading2"/>
        <w:rPr>
          <w:rtl/>
        </w:rPr>
      </w:pPr>
      <w:r w:rsidRPr="001465A2">
        <w:rPr>
          <w:rtl/>
        </w:rPr>
        <w:t xml:space="preserve">שו"ת שבט הלוי חלק ו סימן </w:t>
      </w:r>
      <w:proofErr w:type="spellStart"/>
      <w:r w:rsidRPr="001465A2">
        <w:rPr>
          <w:rtl/>
        </w:rPr>
        <w:t>קח</w:t>
      </w:r>
      <w:r>
        <w:rPr>
          <w:rFonts w:hint="cs"/>
          <w:rtl/>
        </w:rPr>
        <w:t>:ו</w:t>
      </w:r>
      <w:proofErr w:type="spellEnd"/>
    </w:p>
    <w:p w14:paraId="5F1A9837" w14:textId="0675CE1D" w:rsidR="005B6251" w:rsidRPr="005B6251" w:rsidRDefault="00610D12" w:rsidP="005B6251">
      <w:proofErr w:type="spellStart"/>
      <w:r w:rsidRPr="00610D12">
        <w:rPr>
          <w:rtl/>
        </w:rPr>
        <w:t>בענין</w:t>
      </w:r>
      <w:proofErr w:type="spellEnd"/>
      <w:r w:rsidRPr="00610D12">
        <w:rPr>
          <w:rtl/>
        </w:rPr>
        <w:t xml:space="preserve"> </w:t>
      </w:r>
      <w:proofErr w:type="spellStart"/>
      <w:r w:rsidRPr="00610D12">
        <w:rPr>
          <w:rtl/>
        </w:rPr>
        <w:t>הסרדינין</w:t>
      </w:r>
      <w:proofErr w:type="spellEnd"/>
      <w:r w:rsidRPr="00610D12">
        <w:rPr>
          <w:rtl/>
        </w:rPr>
        <w:t xml:space="preserve"> - כהיום אין </w:t>
      </w:r>
      <w:proofErr w:type="spellStart"/>
      <w:r w:rsidRPr="00610D12">
        <w:rPr>
          <w:rtl/>
        </w:rPr>
        <w:t>נמלחין</w:t>
      </w:r>
      <w:proofErr w:type="spellEnd"/>
      <w:r w:rsidRPr="00610D12">
        <w:rPr>
          <w:rtl/>
        </w:rPr>
        <w:t xml:space="preserve"> לפני עשיתן ושמין אותם בקופסאות ברזל תוך שמן ואחרי שנסגרו כבר הם </w:t>
      </w:r>
      <w:proofErr w:type="spellStart"/>
      <w:r w:rsidRPr="00610D12">
        <w:rPr>
          <w:rtl/>
        </w:rPr>
        <w:t>מתבשלין</w:t>
      </w:r>
      <w:proofErr w:type="spellEnd"/>
      <w:r w:rsidRPr="00610D12">
        <w:rPr>
          <w:rtl/>
        </w:rPr>
        <w:t xml:space="preserve"> </w:t>
      </w:r>
      <w:proofErr w:type="spellStart"/>
      <w:r w:rsidRPr="00610D12">
        <w:rPr>
          <w:rtl/>
        </w:rPr>
        <w:t>בכח</w:t>
      </w:r>
      <w:proofErr w:type="spellEnd"/>
      <w:r w:rsidRPr="00610D12">
        <w:rPr>
          <w:rtl/>
        </w:rPr>
        <w:t xml:space="preserve"> זיעה, </w:t>
      </w:r>
      <w:proofErr w:type="spellStart"/>
      <w:r w:rsidRPr="00610D12">
        <w:rPr>
          <w:rtl/>
        </w:rPr>
        <w:t>והבשול</w:t>
      </w:r>
      <w:proofErr w:type="spellEnd"/>
      <w:r w:rsidRPr="00610D12">
        <w:rPr>
          <w:rtl/>
        </w:rPr>
        <w:t xml:space="preserve"> הוא באופן כזה שע"י הזיעה מתבשל השמן מהר, והם מתבשלים ע"י בשול השמן - ולפי שורת ההלכה, יש בהם בשול גוים, </w:t>
      </w:r>
      <w:proofErr w:type="spellStart"/>
      <w:r w:rsidRPr="00610D12">
        <w:rPr>
          <w:rtl/>
        </w:rPr>
        <w:t>דדגים</w:t>
      </w:r>
      <w:proofErr w:type="spellEnd"/>
      <w:r w:rsidRPr="00610D12">
        <w:rPr>
          <w:rtl/>
        </w:rPr>
        <w:t xml:space="preserve"> קטנים אלה עולים על שולחן מלכים, וזיעה הוא בשול גמור, </w:t>
      </w:r>
      <w:proofErr w:type="spellStart"/>
      <w:r w:rsidRPr="00610D12">
        <w:rPr>
          <w:rtl/>
        </w:rPr>
        <w:t>והמקילים</w:t>
      </w:r>
      <w:proofErr w:type="spellEnd"/>
      <w:r w:rsidRPr="00610D12">
        <w:rPr>
          <w:rtl/>
        </w:rPr>
        <w:t xml:space="preserve"> בזה </w:t>
      </w:r>
      <w:proofErr w:type="spellStart"/>
      <w:r w:rsidRPr="00610D12">
        <w:rPr>
          <w:rtl/>
        </w:rPr>
        <w:t>סומכין</w:t>
      </w:r>
      <w:proofErr w:type="spellEnd"/>
      <w:r w:rsidRPr="00610D12">
        <w:rPr>
          <w:rtl/>
        </w:rPr>
        <w:t xml:space="preserve"> עצמן על יסוד המבואר </w:t>
      </w:r>
      <w:proofErr w:type="spellStart"/>
      <w:r w:rsidRPr="00610D12">
        <w:rPr>
          <w:rtl/>
        </w:rPr>
        <w:t>בקצת</w:t>
      </w:r>
      <w:proofErr w:type="spellEnd"/>
      <w:r w:rsidRPr="00610D12">
        <w:rPr>
          <w:rtl/>
        </w:rPr>
        <w:t xml:space="preserve"> ספרים שאין מעשה בית חרושת שעושים בו רבבות לרבים בכלל גזרת </w:t>
      </w:r>
      <w:proofErr w:type="spellStart"/>
      <w:r w:rsidRPr="00610D12">
        <w:rPr>
          <w:rtl/>
        </w:rPr>
        <w:t>חתנות</w:t>
      </w:r>
      <w:proofErr w:type="spellEnd"/>
      <w:r w:rsidRPr="00610D12">
        <w:rPr>
          <w:rtl/>
        </w:rPr>
        <w:t>, ומפה קדוש החזון איש זצ"ל שמעתי להחמיר בזה.</w:t>
      </w:r>
    </w:p>
    <w:p w14:paraId="6BDD8072" w14:textId="2A0062EF" w:rsidR="00530AFE" w:rsidRDefault="008D62F6" w:rsidP="00530AFE">
      <w:pPr>
        <w:pStyle w:val="Heading1"/>
      </w:pPr>
      <w:r>
        <w:rPr>
          <w:rFonts w:hint="cs"/>
          <w:rtl/>
        </w:rPr>
        <w:lastRenderedPageBreak/>
        <w:t xml:space="preserve">בישול עכו"ם בבתי חרושת </w:t>
      </w:r>
      <w:r>
        <w:t>(Factories)</w:t>
      </w:r>
      <w:r>
        <w:rPr>
          <w:rStyle w:val="FootnoteReference"/>
        </w:rPr>
        <w:footnoteReference w:id="2"/>
      </w:r>
    </w:p>
    <w:p w14:paraId="3B8802BA" w14:textId="466D8C1F" w:rsidR="00530AFE" w:rsidRPr="00530AFE" w:rsidRDefault="00530AFE" w:rsidP="00561A73">
      <w:pPr>
        <w:pStyle w:val="Heading2"/>
      </w:pPr>
      <w:r>
        <w:rPr>
          <w:rFonts w:hint="cs"/>
          <w:rtl/>
        </w:rPr>
        <w:t>חוברת מסורה כרך א עמ</w:t>
      </w:r>
      <w:r w:rsidR="00561A73">
        <w:rPr>
          <w:rFonts w:hint="cs"/>
          <w:rtl/>
        </w:rPr>
        <w:t>' צד</w:t>
      </w:r>
      <w:r>
        <w:rPr>
          <w:rFonts w:hint="cs"/>
          <w:rtl/>
        </w:rPr>
        <w:t xml:space="preserve"> </w:t>
      </w:r>
      <w:r>
        <w:rPr>
          <w:rtl/>
        </w:rPr>
        <w:t>–</w:t>
      </w:r>
      <w:r>
        <w:rPr>
          <w:rFonts w:hint="cs"/>
          <w:rtl/>
        </w:rPr>
        <w:t xml:space="preserve"> קונטרס </w:t>
      </w:r>
      <w:proofErr w:type="spellStart"/>
      <w:r>
        <w:rPr>
          <w:rFonts w:hint="cs"/>
          <w:rtl/>
        </w:rPr>
        <w:t>בענין</w:t>
      </w:r>
      <w:proofErr w:type="spellEnd"/>
      <w:r>
        <w:rPr>
          <w:rFonts w:hint="cs"/>
          <w:rtl/>
        </w:rPr>
        <w:t xml:space="preserve"> בישול עכו"ם, הרב מנחם </w:t>
      </w:r>
      <w:proofErr w:type="spellStart"/>
      <w:r>
        <w:rPr>
          <w:rFonts w:hint="cs"/>
          <w:rtl/>
        </w:rPr>
        <w:t>גנק</w:t>
      </w:r>
      <w:proofErr w:type="spellEnd"/>
      <w:r>
        <w:rPr>
          <w:rFonts w:hint="cs"/>
          <w:rtl/>
        </w:rPr>
        <w:t xml:space="preserve"> </w:t>
      </w:r>
      <w:r w:rsidRPr="0037516B">
        <w:rPr>
          <w:rFonts w:hint="cs"/>
          <w:rtl/>
        </w:rPr>
        <w:t>(</w:t>
      </w:r>
      <w:hyperlink r:id="rId8" w:history="1">
        <w:r w:rsidRPr="0037516B">
          <w:rPr>
            <w:rStyle w:val="Hyperlink"/>
            <w:rFonts w:hint="cs"/>
            <w:sz w:val="22"/>
            <w:szCs w:val="22"/>
            <w:rtl/>
          </w:rPr>
          <w:t>קישור</w:t>
        </w:r>
      </w:hyperlink>
      <w:r w:rsidRPr="0037516B">
        <w:rPr>
          <w:rFonts w:hint="cs"/>
          <w:rtl/>
        </w:rPr>
        <w:t>)</w:t>
      </w:r>
      <w:r>
        <w:rPr>
          <w:rStyle w:val="FootnoteReference"/>
          <w:sz w:val="22"/>
          <w:szCs w:val="22"/>
          <w:rtl/>
        </w:rPr>
        <w:footnoteReference w:id="3"/>
      </w:r>
    </w:p>
    <w:p w14:paraId="1A0E60DA" w14:textId="6BEA9354" w:rsidR="008D62F6" w:rsidRDefault="00707E8B" w:rsidP="008D62F6">
      <w:pPr>
        <w:rPr>
          <w:noProof/>
          <w:rtl/>
        </w:rPr>
      </w:pPr>
      <w:r>
        <w:rPr>
          <w:noProof/>
        </w:rPr>
        <w:lastRenderedPageBreak/>
        <w:drawing>
          <wp:inline distT="0" distB="0" distL="0" distR="0" wp14:anchorId="68C8C2C7" wp14:editId="227E2780">
            <wp:extent cx="5943600" cy="5374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374640"/>
                    </a:xfrm>
                    <a:prstGeom prst="rect">
                      <a:avLst/>
                    </a:prstGeom>
                  </pic:spPr>
                </pic:pic>
              </a:graphicData>
            </a:graphic>
          </wp:inline>
        </w:drawing>
      </w:r>
      <w:r w:rsidR="002B04BC">
        <w:rPr>
          <w:noProof/>
        </w:rPr>
        <w:lastRenderedPageBreak/>
        <w:drawing>
          <wp:inline distT="0" distB="0" distL="0" distR="0" wp14:anchorId="66864521" wp14:editId="274D0421">
            <wp:extent cx="5943600"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24300"/>
                    </a:xfrm>
                    <a:prstGeom prst="rect">
                      <a:avLst/>
                    </a:prstGeom>
                  </pic:spPr>
                </pic:pic>
              </a:graphicData>
            </a:graphic>
          </wp:inline>
        </w:drawing>
      </w:r>
      <w:r w:rsidRPr="00707E8B">
        <w:rPr>
          <w:noProof/>
        </w:rPr>
        <w:t xml:space="preserve"> </w:t>
      </w:r>
      <w:r>
        <w:rPr>
          <w:noProof/>
        </w:rPr>
        <w:lastRenderedPageBreak/>
        <w:drawing>
          <wp:inline distT="0" distB="0" distL="0" distR="0" wp14:anchorId="40631A1F" wp14:editId="2C36C38F">
            <wp:extent cx="5943600" cy="5556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556250"/>
                    </a:xfrm>
                    <a:prstGeom prst="rect">
                      <a:avLst/>
                    </a:prstGeom>
                  </pic:spPr>
                </pic:pic>
              </a:graphicData>
            </a:graphic>
          </wp:inline>
        </w:drawing>
      </w:r>
    </w:p>
    <w:p w14:paraId="21230045" w14:textId="14C640CE" w:rsidR="00BD537F" w:rsidRDefault="00BD537F" w:rsidP="00BD537F">
      <w:pPr>
        <w:pStyle w:val="Heading1"/>
      </w:pPr>
      <w:r>
        <w:rPr>
          <w:rFonts w:hint="cs"/>
          <w:rtl/>
        </w:rPr>
        <w:t xml:space="preserve">בישול עכו"ם </w:t>
      </w:r>
      <w:r>
        <w:rPr>
          <w:rtl/>
        </w:rPr>
        <w:t>–</w:t>
      </w:r>
      <w:r>
        <w:rPr>
          <w:rFonts w:hint="cs"/>
          <w:rtl/>
        </w:rPr>
        <w:t xml:space="preserve"> קיטור דג </w:t>
      </w:r>
      <w:proofErr w:type="spellStart"/>
      <w:r>
        <w:rPr>
          <w:rFonts w:hint="cs"/>
          <w:rtl/>
        </w:rPr>
        <w:t>הטונא</w:t>
      </w:r>
      <w:proofErr w:type="spellEnd"/>
    </w:p>
    <w:p w14:paraId="14B0DC6E" w14:textId="4FCEB170" w:rsidR="00DE5FB9" w:rsidRDefault="00DE5FB9" w:rsidP="00DE5FB9">
      <w:pPr>
        <w:pStyle w:val="Heading2"/>
      </w:pPr>
      <w:r>
        <w:rPr>
          <w:rFonts w:hint="cs"/>
          <w:rtl/>
        </w:rPr>
        <w:t>שו"ת יביע אומר חלק ה יורה דעה סימן ט</w:t>
      </w:r>
    </w:p>
    <w:p w14:paraId="4779E6E9" w14:textId="11A5EE08" w:rsidR="00DE5FB9" w:rsidRPr="00DE5FB9" w:rsidRDefault="00144797" w:rsidP="00144797">
      <w:pPr>
        <w:pStyle w:val="Heading2"/>
      </w:pPr>
      <w:r>
        <w:rPr>
          <w:rFonts w:hint="cs"/>
          <w:rtl/>
        </w:rPr>
        <w:t>גינת אגוז עמ' סו</w:t>
      </w:r>
      <w:bookmarkStart w:id="0" w:name="_GoBack"/>
      <w:bookmarkEnd w:id="0"/>
    </w:p>
    <w:p w14:paraId="3C283784" w14:textId="55A6E9C9" w:rsidR="000419FC" w:rsidRPr="000419FC" w:rsidRDefault="000419FC" w:rsidP="000419FC">
      <w:pPr>
        <w:pStyle w:val="Heading2"/>
        <w:rPr>
          <w:rtl/>
        </w:rPr>
      </w:pPr>
      <w:r>
        <w:rPr>
          <w:rFonts w:hint="cs"/>
          <w:rtl/>
        </w:rPr>
        <w:t xml:space="preserve">חוברת מסורה כרך א עמ' צד </w:t>
      </w:r>
      <w:r>
        <w:rPr>
          <w:rtl/>
        </w:rPr>
        <w:t>–</w:t>
      </w:r>
      <w:r>
        <w:rPr>
          <w:rFonts w:hint="cs"/>
          <w:rtl/>
        </w:rPr>
        <w:t xml:space="preserve"> קונטרס </w:t>
      </w:r>
      <w:proofErr w:type="spellStart"/>
      <w:r>
        <w:rPr>
          <w:rFonts w:hint="cs"/>
          <w:rtl/>
        </w:rPr>
        <w:t>בענין</w:t>
      </w:r>
      <w:proofErr w:type="spellEnd"/>
      <w:r>
        <w:rPr>
          <w:rFonts w:hint="cs"/>
          <w:rtl/>
        </w:rPr>
        <w:t xml:space="preserve"> בישול עכו"ם, הרב מנחם </w:t>
      </w:r>
      <w:proofErr w:type="spellStart"/>
      <w:r>
        <w:rPr>
          <w:rFonts w:hint="cs"/>
          <w:rtl/>
        </w:rPr>
        <w:t>גנק</w:t>
      </w:r>
      <w:proofErr w:type="spellEnd"/>
      <w:r>
        <w:rPr>
          <w:rFonts w:hint="cs"/>
          <w:rtl/>
        </w:rPr>
        <w:t xml:space="preserve"> </w:t>
      </w:r>
      <w:r w:rsidRPr="0037516B">
        <w:rPr>
          <w:rFonts w:hint="cs"/>
          <w:rtl/>
        </w:rPr>
        <w:t>(</w:t>
      </w:r>
      <w:hyperlink r:id="rId12" w:history="1">
        <w:r w:rsidRPr="0037516B">
          <w:rPr>
            <w:rStyle w:val="Hyperlink"/>
            <w:rFonts w:hint="cs"/>
            <w:sz w:val="22"/>
            <w:szCs w:val="22"/>
            <w:rtl/>
          </w:rPr>
          <w:t>קישור</w:t>
        </w:r>
      </w:hyperlink>
      <w:r w:rsidRPr="0037516B">
        <w:rPr>
          <w:rFonts w:hint="cs"/>
          <w:rtl/>
        </w:rPr>
        <w:t>)</w:t>
      </w:r>
      <w:r>
        <w:rPr>
          <w:rStyle w:val="FootnoteReference"/>
          <w:sz w:val="22"/>
          <w:szCs w:val="22"/>
          <w:rtl/>
        </w:rPr>
        <w:footnoteReference w:id="4"/>
      </w:r>
    </w:p>
    <w:p w14:paraId="6993AB79" w14:textId="16EE8A30" w:rsidR="00BD537F" w:rsidRDefault="00BD537F" w:rsidP="00BD537F">
      <w:pPr>
        <w:rPr>
          <w:noProof/>
        </w:rPr>
      </w:pPr>
      <w:r>
        <w:rPr>
          <w:noProof/>
        </w:rPr>
        <w:lastRenderedPageBreak/>
        <w:drawing>
          <wp:inline distT="0" distB="0" distL="0" distR="0" wp14:anchorId="01267FD7" wp14:editId="5E15D030">
            <wp:extent cx="5943600" cy="3683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83635"/>
                    </a:xfrm>
                    <a:prstGeom prst="rect">
                      <a:avLst/>
                    </a:prstGeom>
                  </pic:spPr>
                </pic:pic>
              </a:graphicData>
            </a:graphic>
          </wp:inline>
        </w:drawing>
      </w:r>
      <w:r w:rsidR="004203BD" w:rsidRPr="004203BD">
        <w:rPr>
          <w:noProof/>
        </w:rPr>
        <w:t xml:space="preserve"> </w:t>
      </w:r>
      <w:r w:rsidR="004203BD">
        <w:rPr>
          <w:noProof/>
        </w:rPr>
        <w:drawing>
          <wp:inline distT="0" distB="0" distL="0" distR="0" wp14:anchorId="5D2994FA" wp14:editId="78B22B1C">
            <wp:extent cx="5871411" cy="409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5"/>
                    <a:stretch/>
                  </pic:blipFill>
                  <pic:spPr bwMode="auto">
                    <a:xfrm>
                      <a:off x="0" y="0"/>
                      <a:ext cx="5871411" cy="4098925"/>
                    </a:xfrm>
                    <a:prstGeom prst="rect">
                      <a:avLst/>
                    </a:prstGeom>
                    <a:ln>
                      <a:noFill/>
                    </a:ln>
                    <a:extLst>
                      <a:ext uri="{53640926-AAD7-44D8-BBD7-CCE9431645EC}">
                        <a14:shadowObscured xmlns:a14="http://schemas.microsoft.com/office/drawing/2010/main"/>
                      </a:ext>
                    </a:extLst>
                  </pic:spPr>
                </pic:pic>
              </a:graphicData>
            </a:graphic>
          </wp:inline>
        </w:drawing>
      </w:r>
    </w:p>
    <w:p w14:paraId="58380F4E" w14:textId="7B0C58C8" w:rsidR="00E07E71" w:rsidRDefault="00E07E71" w:rsidP="00E07E71">
      <w:pPr>
        <w:pStyle w:val="Heading1"/>
        <w:rPr>
          <w:rtl/>
        </w:rPr>
      </w:pPr>
      <w:r>
        <w:rPr>
          <w:rFonts w:hint="cs"/>
          <w:rtl/>
        </w:rPr>
        <w:lastRenderedPageBreak/>
        <w:t xml:space="preserve">יין נסך וסתם יינם </w:t>
      </w:r>
      <w:r>
        <w:rPr>
          <w:rtl/>
        </w:rPr>
        <w:t>–</w:t>
      </w:r>
      <w:r>
        <w:rPr>
          <w:rFonts w:hint="cs"/>
          <w:rtl/>
        </w:rPr>
        <w:t xml:space="preserve"> יין מבושל ומפוסטר</w:t>
      </w:r>
    </w:p>
    <w:p w14:paraId="38A633DE" w14:textId="21EA09C1" w:rsidR="001A289F" w:rsidRPr="001A289F" w:rsidRDefault="00E07E71" w:rsidP="00844B9A">
      <w:pPr>
        <w:pStyle w:val="Heading2"/>
        <w:rPr>
          <w:rFonts w:hint="cs"/>
          <w:rtl/>
        </w:rPr>
      </w:pPr>
      <w:r>
        <w:rPr>
          <w:rFonts w:hint="cs"/>
          <w:rtl/>
        </w:rPr>
        <w:t xml:space="preserve">שו"ת אגרות משה </w:t>
      </w:r>
      <w:r w:rsidR="001A289F">
        <w:rPr>
          <w:rFonts w:hint="cs"/>
          <w:rtl/>
        </w:rPr>
        <w:t>יורה דעה חלק ג סימן לא</w:t>
      </w:r>
    </w:p>
    <w:sectPr w:rsidR="001A289F" w:rsidRPr="001A289F">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FDB6F" w14:textId="77777777" w:rsidR="00EC0BDE" w:rsidRDefault="00EC0BDE" w:rsidP="009F4441">
      <w:pPr>
        <w:spacing w:after="0" w:line="240" w:lineRule="auto"/>
      </w:pPr>
      <w:r>
        <w:separator/>
      </w:r>
    </w:p>
  </w:endnote>
  <w:endnote w:type="continuationSeparator" w:id="0">
    <w:p w14:paraId="10DF434E" w14:textId="77777777" w:rsidR="00EC0BDE" w:rsidRDefault="00EC0BDE"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B768C"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B26F2" w14:textId="77777777" w:rsidR="00EC0BDE" w:rsidRDefault="00EC0BDE" w:rsidP="009F4441">
      <w:pPr>
        <w:spacing w:after="0" w:line="240" w:lineRule="auto"/>
      </w:pPr>
      <w:r>
        <w:separator/>
      </w:r>
    </w:p>
  </w:footnote>
  <w:footnote w:type="continuationSeparator" w:id="0">
    <w:p w14:paraId="0B461CDB" w14:textId="77777777" w:rsidR="00EC0BDE" w:rsidRDefault="00EC0BDE" w:rsidP="009F4441">
      <w:pPr>
        <w:spacing w:after="0" w:line="240" w:lineRule="auto"/>
      </w:pPr>
      <w:r>
        <w:continuationSeparator/>
      </w:r>
    </w:p>
  </w:footnote>
  <w:footnote w:id="1">
    <w:p w14:paraId="64028B50" w14:textId="77777777" w:rsidR="007E412A" w:rsidRDefault="007E412A" w:rsidP="007E412A">
      <w:pPr>
        <w:pStyle w:val="FootnoteText"/>
        <w:rPr>
          <w:rtl/>
        </w:rPr>
      </w:pPr>
      <w:r>
        <w:rPr>
          <w:rStyle w:val="FootnoteReference"/>
        </w:rPr>
        <w:footnoteRef/>
      </w:r>
      <w:r>
        <w:rPr>
          <w:rtl/>
        </w:rPr>
        <w:t xml:space="preserve"> </w:t>
      </w:r>
      <w:r>
        <w:rPr>
          <w:rFonts w:hint="cs"/>
          <w:rtl/>
        </w:rPr>
        <w:t xml:space="preserve">כ"כ בספרו גן שושנים </w:t>
      </w:r>
      <w:r>
        <w:rPr>
          <w:rtl/>
        </w:rPr>
        <w:t>–</w:t>
      </w:r>
      <w:r>
        <w:rPr>
          <w:rFonts w:hint="cs"/>
          <w:rtl/>
        </w:rPr>
        <w:t xml:space="preserve"> חזון נחום סימן לב אות ב</w:t>
      </w:r>
    </w:p>
  </w:footnote>
  <w:footnote w:id="2">
    <w:p w14:paraId="2AF72DAF" w14:textId="5F9428BB" w:rsidR="00B35CE3" w:rsidRDefault="008D62F6" w:rsidP="00B35CE3">
      <w:pPr>
        <w:pStyle w:val="FootnoteText"/>
        <w:rPr>
          <w:rtl/>
        </w:rPr>
      </w:pPr>
      <w:r>
        <w:rPr>
          <w:rStyle w:val="FootnoteReference"/>
        </w:rPr>
        <w:footnoteRef/>
      </w:r>
      <w:r>
        <w:rPr>
          <w:rtl/>
        </w:rPr>
        <w:t xml:space="preserve"> </w:t>
      </w:r>
      <w:r>
        <w:rPr>
          <w:rFonts w:hint="cs"/>
          <w:rtl/>
        </w:rPr>
        <w:t xml:space="preserve">ע"ע בדך הכשרות טבת תשע"ד </w:t>
      </w:r>
      <w:hyperlink r:id="rId1" w:history="1">
        <w:r w:rsidRPr="000105B5">
          <w:rPr>
            <w:rStyle w:val="Hyperlink"/>
          </w:rPr>
          <w:t>https://oukosher.org/content/uploads/2013/12/2013.12.pdf</w:t>
        </w:r>
      </w:hyperlink>
      <w:r>
        <w:rPr>
          <w:rFonts w:hint="cs"/>
          <w:rtl/>
        </w:rPr>
        <w:t xml:space="preserve"> </w:t>
      </w:r>
      <w:r w:rsidR="00B35CE3">
        <w:t xml:space="preserve"> </w:t>
      </w:r>
    </w:p>
    <w:p w14:paraId="0976D058" w14:textId="18820BA8" w:rsidR="00804EED" w:rsidRDefault="00804EED" w:rsidP="00804EED">
      <w:pPr>
        <w:pStyle w:val="FootnoteText"/>
        <w:rPr>
          <w:rtl/>
        </w:rPr>
      </w:pPr>
      <w:hyperlink r:id="rId2" w:history="1">
        <w:r w:rsidRPr="000105B5">
          <w:rPr>
            <w:rStyle w:val="Hyperlink"/>
          </w:rPr>
          <w:t>https://oukosher.org/blog/consumer-kosher/playing-with-fire</w:t>
        </w:r>
      </w:hyperlink>
    </w:p>
    <w:p w14:paraId="51EB6633" w14:textId="2920F6E8" w:rsidR="00B35CE3" w:rsidRPr="00804EED" w:rsidRDefault="00804EED" w:rsidP="00804EED">
      <w:pPr>
        <w:pStyle w:val="FootnoteText"/>
        <w:rPr>
          <w:rFonts w:hint="cs"/>
          <w:rtl/>
        </w:rPr>
      </w:pPr>
      <w:r>
        <w:t>https://www.koltorah.org/halachah/bishul-akum-by-rabbi-chaim-jachter</w:t>
      </w:r>
    </w:p>
  </w:footnote>
  <w:footnote w:id="3">
    <w:p w14:paraId="211BA84B" w14:textId="77777777" w:rsidR="00530AFE" w:rsidRDefault="00530AFE" w:rsidP="00530AFE">
      <w:pPr>
        <w:pStyle w:val="FootnoteText"/>
        <w:rPr>
          <w:rtl/>
        </w:rPr>
      </w:pPr>
      <w:r>
        <w:rPr>
          <w:rStyle w:val="FootnoteReference"/>
        </w:rPr>
        <w:footnoteRef/>
      </w:r>
      <w:r>
        <w:rPr>
          <w:rtl/>
        </w:rPr>
        <w:t xml:space="preserve"> </w:t>
      </w:r>
      <w:r>
        <w:rPr>
          <w:rFonts w:hint="cs"/>
          <w:rtl/>
        </w:rPr>
        <w:t xml:space="preserve">כ"כ בספרו גן שושנים </w:t>
      </w:r>
      <w:r>
        <w:rPr>
          <w:rtl/>
        </w:rPr>
        <w:t>–</w:t>
      </w:r>
      <w:r>
        <w:rPr>
          <w:rFonts w:hint="cs"/>
          <w:rtl/>
        </w:rPr>
        <w:t xml:space="preserve"> חזון נחום סימן לב אות ב</w:t>
      </w:r>
    </w:p>
  </w:footnote>
  <w:footnote w:id="4">
    <w:p w14:paraId="433C67DE" w14:textId="77777777" w:rsidR="000419FC" w:rsidRDefault="000419FC" w:rsidP="000419FC">
      <w:pPr>
        <w:pStyle w:val="FootnoteText"/>
        <w:rPr>
          <w:rtl/>
        </w:rPr>
      </w:pPr>
      <w:r>
        <w:rPr>
          <w:rStyle w:val="FootnoteReference"/>
        </w:rPr>
        <w:footnoteRef/>
      </w:r>
      <w:r>
        <w:rPr>
          <w:rtl/>
        </w:rPr>
        <w:t xml:space="preserve"> </w:t>
      </w:r>
      <w:r>
        <w:rPr>
          <w:rFonts w:hint="cs"/>
          <w:rtl/>
        </w:rPr>
        <w:t xml:space="preserve">כ"כ בספרו גן שושנים </w:t>
      </w:r>
      <w:r>
        <w:rPr>
          <w:rtl/>
        </w:rPr>
        <w:t>–</w:t>
      </w:r>
      <w:r>
        <w:rPr>
          <w:rFonts w:hint="cs"/>
          <w:rtl/>
        </w:rPr>
        <w:t xml:space="preserve"> חזון נחום סימן לב אות ב</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067DD" w14:textId="77777777"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00EC0BDE">
      <w:rPr>
        <w:rFonts w:hint="cs"/>
        <w:rtl/>
      </w:rPr>
      <w:t xml:space="preserve">     עניינים שונים</w:t>
    </w:r>
  </w:p>
  <w:p w14:paraId="2D3D5DF5" w14:textId="77777777" w:rsidR="00E019E9" w:rsidRPr="009F4441" w:rsidRDefault="00E019E9" w:rsidP="000D7D13">
    <w:pPr>
      <w:spacing w:after="0" w:line="240" w:lineRule="auto"/>
    </w:pPr>
    <w:r w:rsidRPr="00C52284">
      <w:rPr>
        <w:rtl/>
      </w:rPr>
      <w:t>‏</w:t>
    </w:r>
    <w:r>
      <w:rPr>
        <w:rFonts w:hint="cs"/>
        <w:rtl/>
      </w:rPr>
      <w:t>‏</w:t>
    </w:r>
    <w:r w:rsidR="00EC0BDE" w:rsidRPr="00EC0BDE">
      <w:rPr>
        <w:rtl/>
      </w:rPr>
      <w:t>‏כ"ב טבת תשע"ט</w:t>
    </w:r>
    <w:r w:rsidR="00EC0BDE" w:rsidRPr="00EC0BDE">
      <w:rPr>
        <w:rtl/>
      </w:rPr>
      <w:tab/>
    </w:r>
    <w:r w:rsidR="000D7D13">
      <w:rPr>
        <w:rtl/>
      </w:rPr>
      <w:tab/>
    </w:r>
    <w:r>
      <w:rPr>
        <w:rtl/>
      </w:rPr>
      <w:tab/>
    </w:r>
    <w:r>
      <w:rPr>
        <w:rtl/>
      </w:rPr>
      <w:tab/>
    </w:r>
    <w:r>
      <w:rPr>
        <w:rtl/>
      </w:rPr>
      <w:tab/>
    </w:r>
    <w:r>
      <w:rPr>
        <w:rtl/>
      </w:rPr>
      <w:tab/>
    </w:r>
    <w:r>
      <w:rPr>
        <w:rtl/>
      </w:rPr>
      <w:tab/>
    </w:r>
    <w:r>
      <w:rPr>
        <w:rtl/>
      </w:rPr>
      <w:tab/>
    </w:r>
    <w:r>
      <w:rPr>
        <w:rtl/>
      </w:rPr>
      <w:tab/>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BDE"/>
    <w:rsid w:val="000419FC"/>
    <w:rsid w:val="000C25FD"/>
    <w:rsid w:val="000D7D13"/>
    <w:rsid w:val="00144797"/>
    <w:rsid w:val="001465A2"/>
    <w:rsid w:val="00146D43"/>
    <w:rsid w:val="001A289F"/>
    <w:rsid w:val="001A3E2F"/>
    <w:rsid w:val="002B04BC"/>
    <w:rsid w:val="002D7162"/>
    <w:rsid w:val="00330046"/>
    <w:rsid w:val="004203BD"/>
    <w:rsid w:val="00451B9B"/>
    <w:rsid w:val="00530AFE"/>
    <w:rsid w:val="00561A73"/>
    <w:rsid w:val="005B6251"/>
    <w:rsid w:val="005C1ADD"/>
    <w:rsid w:val="00610D12"/>
    <w:rsid w:val="006A3816"/>
    <w:rsid w:val="00707E8B"/>
    <w:rsid w:val="00771609"/>
    <w:rsid w:val="007E412A"/>
    <w:rsid w:val="00804EED"/>
    <w:rsid w:val="00844B9A"/>
    <w:rsid w:val="008D62F6"/>
    <w:rsid w:val="009D125A"/>
    <w:rsid w:val="009F4441"/>
    <w:rsid w:val="00A14E41"/>
    <w:rsid w:val="00A1717D"/>
    <w:rsid w:val="00A83190"/>
    <w:rsid w:val="00B35CE3"/>
    <w:rsid w:val="00BB72D6"/>
    <w:rsid w:val="00BD537F"/>
    <w:rsid w:val="00C47AA7"/>
    <w:rsid w:val="00DE5FB9"/>
    <w:rsid w:val="00E019E9"/>
    <w:rsid w:val="00E07E71"/>
    <w:rsid w:val="00E21379"/>
    <w:rsid w:val="00EC0B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9AB87"/>
  <w15:chartTrackingRefBased/>
  <w15:docId w15:val="{42864193-734C-446B-9FC9-9AFF45DE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E412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paragraph" w:styleId="FootnoteText">
    <w:name w:val="footnote text"/>
    <w:basedOn w:val="Normal"/>
    <w:link w:val="FootnoteTextChar"/>
    <w:uiPriority w:val="99"/>
    <w:unhideWhenUsed/>
    <w:rsid w:val="008D62F6"/>
    <w:pPr>
      <w:spacing w:after="0" w:line="240" w:lineRule="auto"/>
    </w:pPr>
    <w:rPr>
      <w:sz w:val="20"/>
      <w:szCs w:val="20"/>
    </w:rPr>
  </w:style>
  <w:style w:type="character" w:customStyle="1" w:styleId="FootnoteTextChar">
    <w:name w:val="Footnote Text Char"/>
    <w:basedOn w:val="DefaultParagraphFont"/>
    <w:link w:val="FootnoteText"/>
    <w:uiPriority w:val="99"/>
    <w:rsid w:val="008D62F6"/>
    <w:rPr>
      <w:rFonts w:ascii="Narkisim" w:hAnsi="Narkisim" w:cs="Narkisim"/>
      <w:sz w:val="20"/>
      <w:szCs w:val="20"/>
    </w:rPr>
  </w:style>
  <w:style w:type="character" w:styleId="FootnoteReference">
    <w:name w:val="footnote reference"/>
    <w:basedOn w:val="DefaultParagraphFont"/>
    <w:uiPriority w:val="99"/>
    <w:semiHidden/>
    <w:unhideWhenUsed/>
    <w:rsid w:val="008D62F6"/>
    <w:rPr>
      <w:vertAlign w:val="superscript"/>
    </w:rPr>
  </w:style>
  <w:style w:type="character" w:styleId="Hyperlink">
    <w:name w:val="Hyperlink"/>
    <w:basedOn w:val="DefaultParagraphFont"/>
    <w:uiPriority w:val="99"/>
    <w:unhideWhenUsed/>
    <w:rsid w:val="008D62F6"/>
    <w:rPr>
      <w:color w:val="0563C1" w:themeColor="hyperlink"/>
      <w:u w:val="single"/>
    </w:rPr>
  </w:style>
  <w:style w:type="character" w:styleId="UnresolvedMention">
    <w:name w:val="Unresolved Mention"/>
    <w:basedOn w:val="DefaultParagraphFont"/>
    <w:uiPriority w:val="99"/>
    <w:semiHidden/>
    <w:unhideWhenUsed/>
    <w:rsid w:val="008D62F6"/>
    <w:rPr>
      <w:color w:val="605E5C"/>
      <w:shd w:val="clear" w:color="auto" w:fill="E1DFDD"/>
    </w:rPr>
  </w:style>
  <w:style w:type="character" w:customStyle="1" w:styleId="Heading4Char">
    <w:name w:val="Heading 4 Char"/>
    <w:basedOn w:val="DefaultParagraphFont"/>
    <w:link w:val="Heading4"/>
    <w:uiPriority w:val="9"/>
    <w:semiHidden/>
    <w:rsid w:val="007E412A"/>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7E41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834909">
      <w:bodyDiv w:val="1"/>
      <w:marLeft w:val="0"/>
      <w:marRight w:val="0"/>
      <w:marTop w:val="0"/>
      <w:marBottom w:val="0"/>
      <w:divBdr>
        <w:top w:val="none" w:sz="0" w:space="0" w:color="auto"/>
        <w:left w:val="none" w:sz="0" w:space="0" w:color="auto"/>
        <w:bottom w:val="none" w:sz="0" w:space="0" w:color="auto"/>
        <w:right w:val="none" w:sz="0" w:space="0" w:color="auto"/>
      </w:divBdr>
    </w:div>
    <w:div w:id="181922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utorah.org/lectures/lecture.cfm/735446/editor-mesora-journal/mesora-journal-volume-1/"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yutorah.org/lectures/lecture.cfm/735446/editor-mesora-journal/mesora-journal-volume-1/"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yutorah.org/lectures/lecture.cfm/735446/editor-mesora-journal/mesora-journal-volume-1/"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oukosher.org/blog/consumer-kosher/playing-with-fire" TargetMode="External"/><Relationship Id="rId1" Type="http://schemas.openxmlformats.org/officeDocument/2006/relationships/hyperlink" Target="https://oukosher.org/content/uploads/2013/12/2013.1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63</TotalTime>
  <Pages>8</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36</cp:revision>
  <dcterms:created xsi:type="dcterms:W3CDTF">2018-12-30T17:05:00Z</dcterms:created>
  <dcterms:modified xsi:type="dcterms:W3CDTF">2018-12-30T18:31:00Z</dcterms:modified>
</cp:coreProperties>
</file>