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298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D8D142F" w14:textId="77777777" w:rsidR="009F4441" w:rsidRDefault="00CA1F37" w:rsidP="009F4441">
      <w:pPr>
        <w:pStyle w:val="Subtitle"/>
        <w:rPr>
          <w:rtl/>
        </w:rPr>
      </w:pPr>
      <w:r>
        <w:rPr>
          <w:rFonts w:hint="cs"/>
          <w:rtl/>
        </w:rPr>
        <w:t>ישיבה על קברו, חזרה א'</w:t>
      </w:r>
    </w:p>
    <w:p w14:paraId="13E562BD" w14:textId="40125FF8" w:rsidR="000C2D1B" w:rsidRDefault="000C2D1B" w:rsidP="003B48C0">
      <w:pPr>
        <w:pStyle w:val="Heading1"/>
        <w:rPr>
          <w:rtl/>
        </w:rPr>
      </w:pPr>
      <w:bookmarkStart w:id="0" w:name="_Toc521477903"/>
      <w:bookmarkStart w:id="1" w:name="_Toc521478633"/>
      <w:r>
        <w:rPr>
          <w:rFonts w:hint="cs"/>
          <w:rtl/>
        </w:rPr>
        <w:t xml:space="preserve">אבלות </w:t>
      </w:r>
      <w:r>
        <w:rPr>
          <w:rtl/>
        </w:rPr>
        <w:t>–</w:t>
      </w:r>
      <w:r>
        <w:rPr>
          <w:rFonts w:hint="cs"/>
          <w:rtl/>
        </w:rPr>
        <w:t xml:space="preserve"> מחילה</w:t>
      </w:r>
    </w:p>
    <w:p w14:paraId="1BF880DE" w14:textId="337F18EE" w:rsidR="000921AA" w:rsidRPr="000921AA" w:rsidRDefault="00B43CA7" w:rsidP="00B43CA7">
      <w:pPr>
        <w:pStyle w:val="Heading2"/>
        <w:rPr>
          <w:rtl/>
        </w:rPr>
      </w:pPr>
      <w:r>
        <w:rPr>
          <w:rFonts w:hint="cs"/>
          <w:rtl/>
        </w:rPr>
        <w:t>בבא קמא טז:</w:t>
      </w:r>
    </w:p>
    <w:p w14:paraId="36C99A0B" w14:textId="77777777" w:rsidR="000C2D1B" w:rsidRDefault="000C2D1B" w:rsidP="000C2D1B">
      <w:pPr>
        <w:pStyle w:val="Heading2"/>
        <w:rPr>
          <w:rtl/>
        </w:rPr>
      </w:pPr>
      <w:r>
        <w:rPr>
          <w:rFonts w:hint="cs"/>
          <w:rtl/>
        </w:rPr>
        <w:t>שלחן ערוך יורה דעה שמד:י</w:t>
      </w:r>
    </w:p>
    <w:p w14:paraId="25464B69" w14:textId="4D67B294" w:rsidR="000C2D1B" w:rsidRDefault="000C2D1B" w:rsidP="000C2D1B">
      <w:pPr>
        <w:rPr>
          <w:sz w:val="18"/>
          <w:szCs w:val="18"/>
        </w:rPr>
      </w:pPr>
      <w:r w:rsidRPr="000C2D1B">
        <w:rPr>
          <w:rtl/>
        </w:rPr>
        <w:t xml:space="preserve">מי שצוה שלא יספדוהו, שומעין לו. </w:t>
      </w:r>
      <w:r w:rsidRPr="0069516A">
        <w:rPr>
          <w:sz w:val="18"/>
          <w:szCs w:val="18"/>
          <w:rtl/>
        </w:rPr>
        <w:t>(אבל אם צוה שלא לנהוג עליו ז' וגזירת שלשים, ט אין שומעין לו) (מהרי"ו סימן ד' /י"ז/).</w:t>
      </w:r>
    </w:p>
    <w:p w14:paraId="3BA26067" w14:textId="28862C90" w:rsidR="006A395B" w:rsidRDefault="006A395B" w:rsidP="006A395B">
      <w:pPr>
        <w:pStyle w:val="Heading2"/>
        <w:rPr>
          <w:rFonts w:hint="cs"/>
        </w:rPr>
      </w:pPr>
      <w:r w:rsidRPr="006A395B">
        <w:rPr>
          <w:rtl/>
        </w:rPr>
        <w:t>רבי עקיבא איגר יורה דעה שמד</w:t>
      </w:r>
      <w:r>
        <w:rPr>
          <w:rFonts w:hint="cs"/>
          <w:rtl/>
        </w:rPr>
        <w:t>:י</w:t>
      </w:r>
    </w:p>
    <w:p w14:paraId="23252685" w14:textId="3CF32F34" w:rsidR="00B43CA7" w:rsidRDefault="00DC54F7" w:rsidP="00B43CA7">
      <w:pPr>
        <w:rPr>
          <w:rtl/>
        </w:rPr>
      </w:pPr>
      <w:r w:rsidRPr="00DC54F7">
        <w:rPr>
          <w:rtl/>
        </w:rPr>
        <w:t>אבל אם צוה שלא לנהוג. מקור דין זה במהרי"ו (סי' ז' [י"ז]) והעתיקו בד"מ שכתב וז"ל אבל תוך ל' כיון דאשאר מתים נמי מתאבלים עליהם ואסמכינהו אקרא לא נתברר לי אי יקרא דחיי או יקרא דשכבי דהא ודאי אבילות גופיה אינה יכולה למחול דא"כ בטלת כל דיני אבילות עכ"ל הנה בודאי עיקר טעמא דידיה לאו מכח סיומא דידיה דא"כ בטלת כל דיני אבילות דמה בכך אם יבוטל בכה"ג היכא דצוה שלא להתאבל וכמו אבילות י"ב חודש דמודה הרי"ו דשומעין לצוואתו אלא ודאי עיקר טעמא דידיה מחמת ספיקתו אם אבילות הוא יקרא דחיי או דשכבי ובהיות שכן תמה אני דהא דבר זה מחלוקת רבותינו הוא דבדין מאבד עצמו לדעת דאיתא בברייתא דאבל רבתא (רפ"ב) דכל שהוא כבוד לחיים מתעסקין בו וכל שאינו כבוד לחיים אין מתעסקין בו ובזה דעת הרמב"ם (פ"א מהל' אבילות) דאין מתאבלין עליו וע' בכ"מ שם דס"ל להרמב"ם דאבילות כבוד המתים הוא [ומשמעות הרמב"ם דאף אבילות יום א' דהוא דאורייתא לדעת הרמב"ם ג"כ אמרינן טעמא דקרא משום כבוד המתים וצ"ע] אך דעת הרמב"ן בת"א דמתאבלין עליו דכבוד החיים הוא הרי דהוא ספיקא דרבוותא וכיון שכן למה דפסקינן בפשיטות (רס"י שמ"ה) כדעת הרמב"ם דהמאבד עצמו לדעת אין מתאבלין עליו הרי דקי"ל בפשיטות דאבילות הוי כבוד המתים או דקיי"ל מספיקא להקל באבילות עכ"פ נפסוק דמצוה שלא להתאבל מהני ולא הו"ל להרמ"א להעתיק דברי הרי"ו לדינא וראיתי בת' הראנ"ח (סי' נ') שכתב לענין אחר בפשיטות ג"כ דהאבילות ז' ול' הוי כבוד לחיים ולא הרגיש דהוא מחלוקת הרמב"ם והרמב"ן הנ"ל וצ"ע לדינא וע' בת' שבות יעקב (ח"ב סי' ק"ב):</w:t>
      </w:r>
    </w:p>
    <w:p w14:paraId="2F3578A0" w14:textId="6AE85952" w:rsidR="00B43CA7" w:rsidRDefault="00B43CA7" w:rsidP="00B43CA7">
      <w:pPr>
        <w:pStyle w:val="Heading2"/>
        <w:rPr>
          <w:rtl/>
        </w:rPr>
      </w:pPr>
      <w:r>
        <w:rPr>
          <w:rtl/>
        </w:rPr>
        <w:t xml:space="preserve">יד מלאכי כללי התלמוד כלל קפז   </w:t>
      </w:r>
    </w:p>
    <w:p w14:paraId="31614E25" w14:textId="77777777" w:rsidR="00B43CA7" w:rsidRDefault="00B43CA7" w:rsidP="00B43CA7">
      <w:pPr>
        <w:rPr>
          <w:rtl/>
        </w:rPr>
      </w:pPr>
      <w:r>
        <w:rPr>
          <w:rtl/>
        </w:rPr>
        <w:t xml:space="preserve">הלכה כדברי המקיל באבל, אע"ג דבגמרא לא איתמר אלא באבלות דתוך ז' אפ"ה אמרינן כן בדיני האבלות דלאחר ז' כן למדתי מתוך דברי הרמב"ן בספר תורת האדם דף ס"ד ע"ג דעלה דתניא בברייתא מתה אשתו אסור לישא אחרת עד שיעברו עליה שלשה רגלים ר' יהודה אומר רגל ראשון ושני אסור שלישי מותר כתב הוא ז"ל דהלכה כר' יהודה שלישי מותר דקיימא לן הלכה כדברי המקיל באבל ושכן כתב הרי"ץ בן גיאת ז"ל וכוותייהו פסק הרא"ש בפרק ואלו מגלחין מטעמא דר' יהודה מקיל וכן פסק ר' ירוחם תלמידו נתיב נ"ח ח"ב וכן כתב הריטב"א בחידושיו למועד קטן שם ופסקו גדולי הצרפתים וגם הרמב"ן ז"ל הלכה כר' יהודה לפי שהוא מקיל הרי דאף בדיני אבל דלאחר שלשים אית להון להני רבוואתה דאמרינן הלכה כדברי המקיל באבל וכ"ש בדיני אבל דלאחר שבעה עד שלשים וכן נראה עוד מדברי הריטב"א שם גבי כל שלשים יום לגיהוץ שכתב דהלכה כרשב"א שהוא מקיל ורבא סבר לה כוותיה ע"ש והגם שהרב"י והב"ח בההיא דשלשה רגלים פסקו כהרי"ף והרמב"ם דאית להו כת"ק דר' יהודה מ"מ לא פליגי אהך כללא אלא מטעמי אחריני הוא דפסקו כן כמו שיתברר למעיין בדבריהם ותדע עוד שכן הוא דהא הרב"י גופיה סוף סי' שמ"ב במילתא דאחר שבעה כתב ולענין הלכה נקטינן כדברי המקיל באבל יע"ש הן אמת שהגהות מיימוניות בתשובות דשייכי לספר שופטים סי' ך' כתבו דלא שייך לומר הלכה כדברי המקיל באבל אלא כל שבעה אבל לא משבעה ואילך אך לענ"ד יחיד הוא בדעת זה נגד רבים וגדולים שהבאתי.  </w:t>
      </w:r>
    </w:p>
    <w:p w14:paraId="583745A6" w14:textId="7CFFA7DF" w:rsidR="00B43CA7" w:rsidRPr="000C2D1B" w:rsidRDefault="00B43CA7" w:rsidP="00B43CA7">
      <w:pPr>
        <w:rPr>
          <w:rtl/>
        </w:rPr>
      </w:pPr>
      <w:r>
        <w:rPr>
          <w:rtl/>
        </w:rPr>
        <w:t xml:space="preserve">ויש לתמוה מעתה על מוהר"ש אלגאזי ז"ל שבהליכות אלי כלל רנ"ב לא הזכיר אלא דברי הגהות מיימוניות כאילו הם הלכה פסוקה ומוסכמת ולא שת לבו גם לזאת דיחיד הוא בסברא זו נגד הנך רבוואתא שהזכרתי וכן מצאתי עוד בשיירי כנה"ג א"ח סוף סי' תקמ"ח שבענין גערה ביום שלשים כתב דאף אם הרא"ש פליג הלכה כדברי המקיל באבל וכן נקטו בפשיטות הרב גינת ורדים חי"ד כלל ה' סי' ה' ובשו"ת כרם שלמה סי' כ"ח בדין אבל שחל יום שלשים שלו בשבת דוק ותשכח:    </w:t>
      </w:r>
    </w:p>
    <w:p w14:paraId="2D95D5DF" w14:textId="7567383D" w:rsidR="003B48C0" w:rsidRDefault="003B48C0" w:rsidP="003B48C0">
      <w:pPr>
        <w:pStyle w:val="Heading1"/>
        <w:rPr>
          <w:rtl/>
        </w:rPr>
      </w:pPr>
      <w:r>
        <w:rPr>
          <w:rFonts w:hint="cs"/>
          <w:rtl/>
        </w:rPr>
        <w:lastRenderedPageBreak/>
        <w:t xml:space="preserve">אבלות, </w:t>
      </w:r>
      <w:r>
        <w:rPr>
          <w:rFonts w:hint="cs"/>
          <w:rtl/>
        </w:rPr>
        <w:t xml:space="preserve">כיבוד אב ואם </w:t>
      </w:r>
      <w:r>
        <w:rPr>
          <w:rtl/>
        </w:rPr>
        <w:t>–</w:t>
      </w:r>
      <w:r>
        <w:rPr>
          <w:rFonts w:hint="cs"/>
          <w:rtl/>
        </w:rPr>
        <w:t xml:space="preserve"> אשה רשות אחרים עליה</w:t>
      </w:r>
      <w:bookmarkEnd w:id="1"/>
    </w:p>
    <w:p w14:paraId="683A8BEC" w14:textId="77777777" w:rsidR="003B48C0" w:rsidRPr="000240F9" w:rsidRDefault="003B48C0" w:rsidP="003B48C0">
      <w:pPr>
        <w:pStyle w:val="Heading2"/>
        <w:rPr>
          <w:rtl/>
        </w:rPr>
      </w:pPr>
      <w:r>
        <w:rPr>
          <w:rFonts w:hint="cs"/>
          <w:rtl/>
        </w:rPr>
        <w:t>קידושין ל:</w:t>
      </w:r>
    </w:p>
    <w:p w14:paraId="2916DA9E" w14:textId="77777777" w:rsidR="003B48C0" w:rsidRPr="000240F9" w:rsidRDefault="003B48C0" w:rsidP="003B48C0">
      <w:pPr>
        <w:pStyle w:val="Heading2"/>
        <w:rPr>
          <w:rtl/>
        </w:rPr>
      </w:pPr>
      <w:r w:rsidRPr="000240F9">
        <w:rPr>
          <w:rtl/>
        </w:rPr>
        <w:t>שו"ת אגרות משה יורה דעה חלק א סימן רנה</w:t>
      </w:r>
    </w:p>
    <w:p w14:paraId="6CCD98DE" w14:textId="77777777" w:rsidR="003B48C0" w:rsidRPr="000240F9" w:rsidRDefault="003B48C0" w:rsidP="003B48C0">
      <w:pPr>
        <w:rPr>
          <w:rtl/>
        </w:rPr>
      </w:pPr>
      <w:r w:rsidRPr="000240F9">
        <w:rPr>
          <w:rtl/>
        </w:rPr>
        <w:t xml:space="preserve">באשה אבלה תוך יב"ח והבעל רוצה דוקא שתלך עמו לאיזה משתה שעשו לטובת ביהכ"נ  </w:t>
      </w:r>
    </w:p>
    <w:p w14:paraId="266E62B4" w14:textId="77777777" w:rsidR="003B48C0" w:rsidRPr="000240F9" w:rsidRDefault="003B48C0" w:rsidP="003B48C0">
      <w:pPr>
        <w:rPr>
          <w:rtl/>
        </w:rPr>
      </w:pPr>
      <w:r w:rsidRPr="000240F9">
        <w:rPr>
          <w:rtl/>
        </w:rPr>
        <w:t xml:space="preserve">  נשאלתי באשה שהיא אבלה בתוך י"ב חדש על אביה והבעל רוצה בדוקא שתלך עמו לאיזה משתה שעשו לאיזה צורך לטובת ביהכ"נ משום שבעצמו אינו יכול ללכת לשם משום שאינו כדרך כבודו ובאם לא תלך אמר שלא יהיה שלום בבית.  </w:t>
      </w:r>
    </w:p>
    <w:p w14:paraId="73CD5626" w14:textId="77777777" w:rsidR="003B48C0" w:rsidRDefault="003B48C0" w:rsidP="003B48C0">
      <w:pPr>
        <w:rPr>
          <w:rtl/>
        </w:rPr>
      </w:pPr>
      <w:r w:rsidRPr="000240F9">
        <w:rPr>
          <w:rtl/>
        </w:rPr>
        <w:t xml:space="preserve">  והשבתי שלצורך גדול כזה שלא תופר השלום שביניהם רשאה ללכת עמו, דהעיקר מסתבר לע"ד שדין י"ב חדש על אב ואם שהוא יותר משאר קרובים שחייבים להתאבל עליהם אינו מצד הקורבה היתירה שיש לאב ואם אליו נגד שאר קרובים. דאם מצד הקורבה גם אב ואם על בן ובת יהיו בדין י"ב חדש דבחשיבות הקורבה הגדולה אין חלוק בין אב ואם להבן והבת ובין הבן והבת להאב והאם, ואדרבה מפורש בגמ' ב"ב דף ק"ח שהבן להאב הוא נחשב יותר קרובו מהאב להבן דלכן מהקרוב קרוב קודם ידעינן שהבן קודם ליורשו מאביו. אלא הוא מדין כבוד אב ואם שהבן והבת מחוייבין במצות כבוד לכבד אביו ואמו והאב והאם אין מצוין לכבד בנם ובתם. ומכיון שהוא מדין כבוד הא אשה אינה מחוייבת אם הוא נגד צורך הבעל כמפורש בקידושין דף ל' אף בחיי האב ונפסק כן בש"ע יו"ד סי' ר"מ סעי' י"ז. ואולי אף שאין בזה צורך ממש להבעל אלא שרוצה שתעשה עבורו איזה דבר אף שאינו דבר נחוץ שאשה כשרה עכ"פ צריכה לעשות רצונו כהא דבנדרים דף ס"ו, נמי פוטרה מכבוד אב אף שאינה משועבדת ממש לזה וכן משמע מש"ך שם ס"ק י"ט דכתב דאם אין בעלה מקפיד חייבת בכל דבר שאפשר כמו האיש, דאם הפטור שלה הוא דוקא בזמן שעושה לבעלה דברים שמשועבדת לעשות לו הי"ל לומר בלשון דאם בעלה מחל שעבודו משעה זו חייבת ולא בלשון אם אין מקפיד ולכן משמע קצת דפטורה בכל קפידת הבעל שתעשה לו ואף שאינה מחוייבת מדיני שעבודיה מאחר דעכ"פ יש עליה לעשות רצונו. וזה ודאי שאין החיוב דלכבדו במותו עדיף מדין הכבוד בחייו ולכן גם מדין כבוד במותו פטורה אם הוא נגד צורך ורצון הבעל ולכן בעובדא זו שהבעל צריך לילך ומתבייש לילך בעצמו הוא צורך הבעל שפוטרה מכבוד. וגם על הבעל אין איסור מלהקפיד שעי"ד זה תתמנע ממצות כבוד. אבל מכיון שלא מצאתי בפירוש דין זה לא רציתי להתיר אלא באופן זה שיש לחוש שתופר השלום ביניהם שמצינו שהקלה תורה בדברים יותר חמורים בשביל שלום שבין איש לאשתו שבזה סמכתי על סברתי שבעצם היא ברורה. משה פיינשטיין    </w:t>
      </w:r>
    </w:p>
    <w:p w14:paraId="784C1787" w14:textId="77777777" w:rsidR="00CA1F37" w:rsidRDefault="00CA1F37" w:rsidP="00CA1F37">
      <w:pPr>
        <w:pStyle w:val="Heading1"/>
        <w:rPr>
          <w:rtl/>
        </w:rPr>
      </w:pPr>
      <w:r>
        <w:rPr>
          <w:rFonts w:hint="cs"/>
          <w:rtl/>
        </w:rPr>
        <w:t xml:space="preserve">אבלות </w:t>
      </w:r>
      <w:r>
        <w:rPr>
          <w:rtl/>
        </w:rPr>
        <w:t>–</w:t>
      </w:r>
      <w:r>
        <w:rPr>
          <w:rFonts w:hint="cs"/>
          <w:rtl/>
        </w:rPr>
        <w:t xml:space="preserve"> תוספת שבת ויום טוב</w:t>
      </w:r>
      <w:bookmarkEnd w:id="0"/>
    </w:p>
    <w:p w14:paraId="1A2F88B0" w14:textId="77777777" w:rsidR="00CA1F37" w:rsidRDefault="00CA1F37" w:rsidP="00CA1F37">
      <w:pPr>
        <w:pStyle w:val="Heading2"/>
        <w:rPr>
          <w:rtl/>
        </w:rPr>
      </w:pPr>
      <w:r>
        <w:rPr>
          <w:rtl/>
        </w:rPr>
        <w:t xml:space="preserve">שו"ת משיב דבר חלק ב סימן עג   </w:t>
      </w:r>
    </w:p>
    <w:p w14:paraId="2C9B781E" w14:textId="77777777" w:rsidR="00CA1F37" w:rsidRDefault="00CA1F37" w:rsidP="00CA1F37">
      <w:pPr>
        <w:rPr>
          <w:rtl/>
        </w:rPr>
      </w:pPr>
      <w:r>
        <w:rPr>
          <w:rtl/>
        </w:rPr>
        <w:t xml:space="preserve">ב"ה ג' כסלו תרמ"ז. כבוד ידידי הרב הגדול חו"ב י"א מ' חיים נ"י.  </w:t>
      </w:r>
    </w:p>
    <w:p w14:paraId="635BE8DE" w14:textId="77777777" w:rsidR="00CA1F37" w:rsidRDefault="00CA1F37" w:rsidP="00CA1F37">
      <w:pPr>
        <w:rPr>
          <w:rtl/>
        </w:rPr>
      </w:pPr>
      <w:r>
        <w:rPr>
          <w:rtl/>
        </w:rPr>
        <w:t xml:space="preserve">  ע"ד השאלה אשה שהדליקה נרות בש"ק שחל ביו"ט. ונודע לה אבלות ונהגה אבלות בשעה קלה זו עד שחשכה. אם עולה לה שלא תצטרך לנהוג אבלות אחר החג:  </w:t>
      </w:r>
    </w:p>
    <w:p w14:paraId="580181E9" w14:textId="77777777" w:rsidR="00CA1F37" w:rsidRPr="00B77DC7" w:rsidRDefault="00CA1F37" w:rsidP="00CA1F37">
      <w:pPr>
        <w:rPr>
          <w:rtl/>
        </w:rPr>
      </w:pPr>
      <w:r>
        <w:rPr>
          <w:rtl/>
        </w:rPr>
        <w:t xml:space="preserve">  לענ"ד לא מיבעי אם כבר נהגה אבלות שעולה לה שהרי לדעת הרמב"ם אין לנו תוספת בש"ק ויו"ט כלל. והדלקת הנרות אינו קבלה וא"כ היתה מחויבת לנהוג אבלות וממילא עולה לה. ואפילו נימא שגם לדעת הרמב"ם שאין בהדלקת הנרות חיוב לשבות ממלאכה מכ"מ אחר שכבר נהגו בכך. נעשה כנדר וכמ"ש הלבוש בקבלת שבת כמבו' בלבוש סי' רס"ג. מכ"מ אינו נדר ממש כ"ז שלא אמרה בפיה הנני מקבלת שבת. אבל בל"ז אינו אלא כמנהג שלשה פעמים דהוי כנדר כמ"ש הרא"ש והר"ן בנדרים (פ"א ב). ובזה האופן נדחית מפני המצוה וכדאיתא בברכות (ו') כל הרגיל לבוא לביהכ"נ ולא בא יום אחד. הקב"ה משאיל בו שנא' מי בכם ירא ה' אשר הלך חשכים ואין נוגה לו. ואם לדבר מצוה הלך נוגה לו כו'. פי' דכיון שהוא רגיל לבוא לבהכ"נ בכל יום נעשה עליו כנדר. ומש"ה אם לא בא יום א' הקב"ה משאיל בו ומענישו ע"ז כמ"ש הריב"ן שלהי מס' מכות (כ"ד א) בד"ה כגון ראבר"ש כו' אלמא בחייו הי' רגיל לדקדק בכך לפיכך הקפיד הקב"ה כו' וה"נ מי שרגיל לבוא לביהכ"נ. ובכ"ז מפורש אם לדבר מצוה הלך נוגה לו. ומזה יש לדון דמי שנוהג בהדלקת הנרות איסור מלאכה ובקדושת השבת שלדעת הרמב"ם וסיעתו אינו מעיקר הדין וא"כ אינו אלא מנהג טוב. ונדחית מפני מצות אבלות שחלה עליו וממילא עולה ובאבלות הלכה כדברי המיקל. כ"ז דברנו באם כבר נהגה אבלות אבל אם באה לשאלה אם תנהוג אבלות. יש להתיישב בדבר. אם מחויבת לנהוג אבלות בשעה זו או לא אחרי שהלכה פסוקה כדעת בה"ג דהדלקת הנרות הוי קבלת שבת עפ"י ד"ת משום תוס' שויו"ט וא"כ אין מורין לה לנהוג אבלות. ונראה דזה תלוי אם תוס' יו"ט מועיל גם לשמחת יו"ט או רק לשביתת מלאכה ולא למצות שמחה. ואם נימא דאינו מועיל לשמחת יו"ט אין מורין לנהוג אבלות בפרהסיא דהיינו לחלוץ מנעל ולישב על הארץ. שהרי מכ"מ הוי כקדושת שבת שאין נוהג אבלות בפרהסיא מיהא אסורה בשמחה ובשארי דברים שבצנעה. ידידו העמוס בעבודה רבה: נפתלי צבי יהודה ברלין.    </w:t>
      </w:r>
    </w:p>
    <w:p w14:paraId="4CE1ABC0" w14:textId="77777777" w:rsidR="00CA1F37" w:rsidRDefault="00CA1F37" w:rsidP="00CA1F37">
      <w:pPr>
        <w:pStyle w:val="Heading2"/>
        <w:rPr>
          <w:rtl/>
        </w:rPr>
      </w:pPr>
      <w:r>
        <w:rPr>
          <w:rFonts w:hint="cs"/>
          <w:rtl/>
        </w:rPr>
        <w:lastRenderedPageBreak/>
        <w:t>ברכות כז:</w:t>
      </w:r>
    </w:p>
    <w:p w14:paraId="0886B201" w14:textId="77777777" w:rsidR="00CA1F37" w:rsidRDefault="00CA1F37" w:rsidP="00CA1F37">
      <w:pPr>
        <w:pStyle w:val="Heading2"/>
        <w:rPr>
          <w:rtl/>
        </w:rPr>
      </w:pPr>
      <w:r>
        <w:rPr>
          <w:rtl/>
        </w:rPr>
        <w:t>דב</w:t>
      </w:r>
      <w:r>
        <w:rPr>
          <w:rFonts w:hint="cs"/>
          <w:rtl/>
        </w:rPr>
        <w:t>רי יחזקאל</w:t>
      </w:r>
    </w:p>
    <w:p w14:paraId="32678E41" w14:textId="77777777" w:rsidR="00CA1F37" w:rsidRPr="00FC7C0D" w:rsidRDefault="00CA1F37" w:rsidP="00CA1F37">
      <w:pPr>
        <w:pStyle w:val="Heading2"/>
        <w:rPr>
          <w:rtl/>
        </w:rPr>
      </w:pPr>
      <w:r>
        <w:rPr>
          <w:rFonts w:hint="cs"/>
          <w:rtl/>
        </w:rPr>
        <w:t>גן שושנים סימן יב</w:t>
      </w:r>
    </w:p>
    <w:p w14:paraId="49C92ECD" w14:textId="77777777" w:rsidR="00CA1F37" w:rsidRPr="00EB17BE" w:rsidRDefault="00CA1F37" w:rsidP="00CA1F37">
      <w:pPr>
        <w:pStyle w:val="Heading2"/>
        <w:rPr>
          <w:rtl/>
        </w:rPr>
      </w:pPr>
      <w:r>
        <w:rPr>
          <w:rFonts w:hint="cs"/>
          <w:rtl/>
        </w:rPr>
        <w:t>נפש הרב עמ' קנה</w:t>
      </w:r>
    </w:p>
    <w:p w14:paraId="53762996" w14:textId="293435AF" w:rsidR="007C3C19" w:rsidRDefault="007C3C19" w:rsidP="007C3C19">
      <w:pPr>
        <w:pStyle w:val="Heading1"/>
        <w:rPr>
          <w:rtl/>
        </w:rPr>
      </w:pPr>
      <w:bookmarkStart w:id="2" w:name="_Toc521477879"/>
      <w:r>
        <w:rPr>
          <w:rFonts w:hint="cs"/>
          <w:rtl/>
        </w:rPr>
        <w:t xml:space="preserve">אבלות </w:t>
      </w:r>
      <w:r>
        <w:rPr>
          <w:rtl/>
        </w:rPr>
        <w:t>–</w:t>
      </w:r>
      <w:r>
        <w:rPr>
          <w:rFonts w:hint="cs"/>
          <w:rtl/>
        </w:rPr>
        <w:t xml:space="preserve"> מקצת היום שלושים ושמועה רחוקה</w:t>
      </w:r>
      <w:bookmarkEnd w:id="2"/>
    </w:p>
    <w:p w14:paraId="52FC3E62" w14:textId="18615DD5" w:rsidR="00CC5D7C" w:rsidRDefault="00CC5D7C" w:rsidP="00CC5D7C">
      <w:pPr>
        <w:pStyle w:val="Heading2"/>
        <w:rPr>
          <w:rtl/>
        </w:rPr>
      </w:pPr>
      <w:r>
        <w:rPr>
          <w:rFonts w:hint="cs"/>
          <w:rtl/>
        </w:rPr>
        <w:t>מועד קטן יט:</w:t>
      </w:r>
    </w:p>
    <w:p w14:paraId="2C8B8565" w14:textId="66C0B8E7" w:rsidR="003B0A75" w:rsidRDefault="003B0A75" w:rsidP="00DB5D26">
      <w:pPr>
        <w:pStyle w:val="Heading2"/>
        <w:rPr>
          <w:rtl/>
        </w:rPr>
      </w:pPr>
      <w:r>
        <w:rPr>
          <w:rFonts w:hint="cs"/>
          <w:rtl/>
        </w:rPr>
        <w:t>תורת האדם</w:t>
      </w:r>
      <w:r w:rsidR="00C43894">
        <w:rPr>
          <w:rFonts w:hint="cs"/>
          <w:rtl/>
        </w:rPr>
        <w:t xml:space="preserve"> שער האבל </w:t>
      </w:r>
      <w:r w:rsidR="00C43894">
        <w:rPr>
          <w:rtl/>
        </w:rPr>
        <w:t>–</w:t>
      </w:r>
      <w:r w:rsidR="00C43894">
        <w:rPr>
          <w:rFonts w:hint="cs"/>
          <w:rtl/>
        </w:rPr>
        <w:t xml:space="preserve"> ענין האבלות סז</w:t>
      </w:r>
    </w:p>
    <w:p w14:paraId="6A3E97CE" w14:textId="235D9EBA" w:rsidR="00C43894" w:rsidRDefault="00C43894" w:rsidP="00C43894">
      <w:pPr>
        <w:rPr>
          <w:rtl/>
        </w:rPr>
      </w:pPr>
      <w:r>
        <w:rPr>
          <w:rtl/>
        </w:rPr>
        <w:t xml:space="preserve">בהנחת תפילין כיצד, אבל אסור להניח תפילין מדקאמר ליה רחמנא ליחזקאל פארך חבוש עליך מכלל דכולי עלמא אסירי. ת"ר (מ"ק כ"א א') אבל שלשה ימים הראשונים אסור להניח תפילין, משלישי ושלישי בכלל מותר להניח תפילין, ואם באו פנים חדשות אינו חולץ דברי ר' אליעזר, ר' יהושע אומר אבל שני ימים הראשונים אסור להניח תפילין, משני ושני בכלל מותר להניח תפילין ואם באו פנים חדשות חולץ. טעמא דר' אליעזר דכתיב ויתמו ימי בכי אבל משה, טעמא דר' יהושע דכתיב ואחריתה כיום מר. ומסקנא הלכה כרבי יהושע בהנחה וכיון שהניח ביום שני שוב אינו חולץ ואפי' באו פנים חדשות. ופירש רש"י ז"ל הא דקאמרינן שני ימים אסור להניח תפילין ומשני ושני בכלל מותר להניח, דשני ימים אסור בהם ומקצת שני ככולו, וכן שלישי לר' אליעזר, וכך נמי פי' הראב"ד ז"ל לרבי אליעזר שנים הראשונים כולן ומקצת שלישי אסור דכתיב ויתמו ימי בכי אבל משה ואין ימי בכי פחות משנים, וכתיב ויתמו אלמא שלמים בעינן שמשלים עליהם מן השלישי, וטעמא דר' יהושע דכתיב ואחריתה כיום מר מדכתיב כיום ולא כתיב יום משמע שיש עליו תוספת מן השני כמעט. ולפי הדרך הזו שפירשו ז"ל נראה שבשני אסור, אינו מניח שחרית עד שיתפללו ויעמדו מנחמין מאצלו ולאחר מיכן מניחן כל היום ושוב אינו חולץ.  </w:t>
      </w:r>
    </w:p>
    <w:p w14:paraId="7E52ADAC" w14:textId="77777777" w:rsidR="00C43894" w:rsidRDefault="00C43894" w:rsidP="00C43894">
      <w:pPr>
        <w:rPr>
          <w:rtl/>
        </w:rPr>
      </w:pPr>
      <w:r>
        <w:rPr>
          <w:rtl/>
        </w:rPr>
        <w:t xml:space="preserve">  אבל רבינו הגדול ז"ל כתב בהלכות ומסקנא אינו אסור אלא יום ראשון בלבד דעיקר מררא חד יומא דכתיב ואחריתה כיום מר וכן כתבו הגאונים ז"ל בחיבוריהם ובתשובות שלהן. ואנו תמהים למה לא אסרו עליו מקצת השני, ואם סמכו הגאונים בזו שאמרו במסכת סוכה בפרק הישן (כ"ה א') אבל חייב בכל המצות האמורות בתורה חוץ מן התפילין שנאמר בהן פאר וכתיב לשום לאבלי ציון לתת להם פאר תחת אפר והני מילי יום ראשון, זו אינה תורה דהא ביום שני חייב הוא בתפילין אע"פ שמקצת היום נהג בהן אבילות. ונראה לי שכלפי שאמרו לילה לאו זמן תפילין הוא, והנוהג אבלות שני ימים בתפילין על כרחו נוהג בהן שלשה מפני שאינו יכול להניחן בלילה ולענין אבילות מקצת היום ככולו, לפיכך אמרו שלשה ימים הראשונים אסור ומשלישי ושלישי בכלל מותר וכן שני ימים לר' יהושע, ונמצא שמקצת היום הזה נהג בהן כאבל ולא מדין אבלות אלא מפני דין תפלין שאסורין בלילה, ולפיכך לא כתבו רבינו והגאונים ז"ל אלא יום אחד שהוא דין אבילות, ובלילה אם נותן או אינו נותן ענין אחר הוא. והסיוע לדבריהם שמצינו בכל מקום ואחריתה כיום מר עיקר מררא חד יומא לומר שאין יום ראשון תופס לילו כדאיתא בפ' טבול יום (ק' ב') ובפרק קמא דברכות (ט"ז ב').  </w:t>
      </w:r>
    </w:p>
    <w:p w14:paraId="6A596947" w14:textId="0B630541" w:rsidR="00CC5D7C" w:rsidRDefault="00DB5D26" w:rsidP="00DB5D26">
      <w:pPr>
        <w:pStyle w:val="Heading2"/>
      </w:pPr>
      <w:r>
        <w:rPr>
          <w:rFonts w:hint="cs"/>
          <w:rtl/>
        </w:rPr>
        <w:t>שלחן ערוך יורה דעה שצה:א-</w:t>
      </w:r>
      <w:r w:rsidR="00356D54">
        <w:rPr>
          <w:rFonts w:hint="cs"/>
          <w:rtl/>
        </w:rPr>
        <w:t>ב</w:t>
      </w:r>
    </w:p>
    <w:p w14:paraId="55065583" w14:textId="74EE3A52" w:rsidR="0038150F" w:rsidRDefault="0038150F" w:rsidP="0038150F">
      <w:pPr>
        <w:rPr>
          <w:rtl/>
        </w:rPr>
      </w:pPr>
      <w:r>
        <w:rPr>
          <w:rtl/>
        </w:rPr>
        <w:t xml:space="preserve">כיון שעמדו מנחמים מאצל האבל ביום שביעי, מותר בכל דברים שאסור בהם תוך שבעה, דמקצת היום ככולו, לא שנא מקצת יום שביעי לא שנא מקצת יום שלשים, כיון שהנץ החמה ביום שלשים, בטלו ממנו גזרת שלשים </w:t>
      </w:r>
      <w:r w:rsidRPr="0038150F">
        <w:rPr>
          <w:sz w:val="18"/>
          <w:szCs w:val="18"/>
          <w:rtl/>
        </w:rPr>
        <w:t xml:space="preserve">(רא"ש ורבינו ירוחם). הגה: ובמדינות אלו שאין המנחמין רגילין לבא ביום ז', צריך להמתין עד שעה שרגילין המנחמים לבא בשאר ימים, דהיינו (ב) לאחר יציאה מבית הכנסת שרגילין לבא מנחמין, כן נראה לי, ודלא כמו שרגילין להמתין שעה על היום, דאין הדבר תלוי רק בעמידת המנחמין. (וכן משמע באשירי).  </w:t>
      </w:r>
    </w:p>
    <w:p w14:paraId="70CD545E" w14:textId="4E6B645B" w:rsidR="0038150F" w:rsidRPr="0038150F" w:rsidRDefault="0038150F" w:rsidP="0038150F">
      <w:pPr>
        <w:rPr>
          <w:rtl/>
        </w:rPr>
      </w:pPr>
      <w:r>
        <w:rPr>
          <w:rtl/>
        </w:rPr>
        <w:t xml:space="preserve"> שמע שמועה רחוקה בלילה, כיון דסגי בשעה אחת, סלקא, אפילו בלילה.</w:t>
      </w:r>
    </w:p>
    <w:p w14:paraId="56BF1D08" w14:textId="0AE67DEE" w:rsidR="00DB5D26" w:rsidRPr="00DB5D26" w:rsidRDefault="003B0A75" w:rsidP="003B0A75">
      <w:pPr>
        <w:pStyle w:val="Heading2"/>
        <w:rPr>
          <w:rtl/>
        </w:rPr>
      </w:pPr>
      <w:r>
        <w:rPr>
          <w:rFonts w:hint="cs"/>
          <w:rtl/>
        </w:rPr>
        <w:t>פסחים ד.</w:t>
      </w:r>
    </w:p>
    <w:p w14:paraId="77265294" w14:textId="77777777" w:rsidR="007C3C19" w:rsidRPr="00131409" w:rsidRDefault="007C3C19" w:rsidP="007C3C19">
      <w:pPr>
        <w:pStyle w:val="Heading2"/>
        <w:rPr>
          <w:rtl/>
        </w:rPr>
      </w:pPr>
      <w:r>
        <w:rPr>
          <w:rFonts w:hint="cs"/>
          <w:rtl/>
        </w:rPr>
        <w:t>נפש הרב עמ' רנב</w:t>
      </w:r>
    </w:p>
    <w:p w14:paraId="16D6385E" w14:textId="41F78A1E" w:rsidR="00E16FBC" w:rsidRDefault="00E16FBC" w:rsidP="00E16FBC">
      <w:pPr>
        <w:pStyle w:val="Heading2"/>
        <w:rPr>
          <w:rtl/>
        </w:rPr>
      </w:pPr>
      <w:r w:rsidRPr="00E16FBC">
        <w:rPr>
          <w:rtl/>
        </w:rPr>
        <w:t>חכמת אדם שער השמחה קונטרס מצבת משה</w:t>
      </w:r>
      <w:r>
        <w:rPr>
          <w:rFonts w:hint="cs"/>
          <w:rtl/>
        </w:rPr>
        <w:t xml:space="preserve"> שאלה ו</w:t>
      </w:r>
    </w:p>
    <w:p w14:paraId="65C4D7CE" w14:textId="35BFE11B" w:rsidR="003436AA" w:rsidRDefault="003436AA" w:rsidP="003436AA">
      <w:pPr>
        <w:rPr>
          <w:rtl/>
        </w:rPr>
      </w:pPr>
      <w:r>
        <w:rPr>
          <w:rtl/>
        </w:rPr>
        <w:t>שאלה: אשה שהיא אבילה וכבר עברו ששה ימים ולמחר יש לבעלה דבר נחוץ שצריך ליסע למרחקים אם מותר לשמש בליל שביעי אם אמרינן מקצת לילה עולה למנין שבעה:</w:t>
      </w:r>
    </w:p>
    <w:p w14:paraId="507A702C" w14:textId="15F72B5A" w:rsidR="00E16FBC" w:rsidRDefault="003436AA" w:rsidP="003436AA">
      <w:r>
        <w:rPr>
          <w:rtl/>
        </w:rPr>
        <w:lastRenderedPageBreak/>
        <w:t xml:space="preserve">  תשובה: כבר כתב בשולחן ערוך (סימן שצ"ה סעיף א') דמקצת לילה אינו עולה למנין שבעה אלא מקצת יום דוקא אך מצאתי בתשובת הרדב"ז חלק ג' סימן תקנ"ט שכתב דאף על גב דהרשב"ם פשיטא ליה דמקצת היום דוקא ורבינו תם התיר בשעת הדחק לרחוץ מיד בלילה וריב"א מסתפק ולכן הכריע דלענין תלמוד תורה ותשמיש דאית ביה מצוה אמרינן מקצת הלילה ככל היום אלא שצריך להמתין מלשמש בלילה יותר ממה שהוא רגיל כדי שיהא נוהג בו מקצת אבילות (דהיינו על פי דעת רמב"ן שצריך לנהוג כל דין אבילות) עיין שם שהאריך ולפי זה בנידון דידן בהולך לדרך דמצינו שהקילו חכמים לפקוד אפילו סמוך לוסתה כדאיתא בשולחן ערוך סימן קפ"ד אפשר דיש לסמוך על כל פנים בענין זה על הרדב"ז:</w:t>
      </w:r>
    </w:p>
    <w:p w14:paraId="6CA6C61B" w14:textId="77777777" w:rsidR="00892889" w:rsidRPr="00BB0069" w:rsidRDefault="00892889" w:rsidP="00892889">
      <w:pPr>
        <w:pStyle w:val="Heading1"/>
      </w:pPr>
      <w:bookmarkStart w:id="3" w:name="_Toc521479552"/>
      <w:r w:rsidRPr="00BB0069">
        <w:rPr>
          <w:rFonts w:hint="cs"/>
          <w:rtl/>
        </w:rPr>
        <w:t>שור הנסקל</w:t>
      </w:r>
      <w:r>
        <w:rPr>
          <w:rFonts w:hint="cs"/>
          <w:rtl/>
        </w:rPr>
        <w:t xml:space="preserve"> בכ"ג, כלבו של כהן גדול</w:t>
      </w:r>
      <w:bookmarkEnd w:id="3"/>
      <w:r>
        <w:rPr>
          <w:rFonts w:hint="cs"/>
          <w:rtl/>
        </w:rPr>
        <w:t xml:space="preserve"> </w:t>
      </w:r>
    </w:p>
    <w:p w14:paraId="550AE5EE" w14:textId="77777777" w:rsidR="00892889" w:rsidRPr="00BB0069" w:rsidRDefault="00892889" w:rsidP="00892889">
      <w:pPr>
        <w:pStyle w:val="Heading2"/>
        <w:rPr>
          <w:shd w:val="clear" w:color="auto" w:fill="FFFFFF"/>
          <w:rtl/>
        </w:rPr>
      </w:pPr>
      <w:bookmarkStart w:id="4" w:name="_GoBack"/>
      <w:bookmarkEnd w:id="4"/>
      <w:r w:rsidRPr="00BB0069">
        <w:rPr>
          <w:rFonts w:hint="cs"/>
          <w:shd w:val="clear" w:color="auto" w:fill="FFFFFF"/>
          <w:rtl/>
        </w:rPr>
        <w:t>בבא קמא מא.</w:t>
      </w:r>
    </w:p>
    <w:p w14:paraId="1E23B980" w14:textId="77777777" w:rsidR="00892889" w:rsidRPr="00BB0069" w:rsidRDefault="00892889" w:rsidP="00892889">
      <w:pPr>
        <w:rPr>
          <w:rtl/>
        </w:rPr>
      </w:pPr>
      <w:r w:rsidRPr="00BB0069">
        <w:rPr>
          <w:rtl/>
        </w:rPr>
        <w:t>ת"ר: ממשמע שנאמר סקל יסקל השור, איני יודע שנבילה היא ונבילה אסורה באכילה? מה ת"ל לא יאכל את בשרו? מגיד לך הכתוב, שאם שחטו לאחר שנגמר דינו - אסור באכילה. אין לי אלא באכילה, בהנאה מנין? ת"ל: ובעל השור נקי</w:t>
      </w:r>
    </w:p>
    <w:p w14:paraId="5B901567" w14:textId="77777777" w:rsidR="00892889" w:rsidRPr="00BB0069" w:rsidRDefault="00892889" w:rsidP="00892889">
      <w:pPr>
        <w:pStyle w:val="Heading2"/>
        <w:rPr>
          <w:shd w:val="clear" w:color="auto" w:fill="FFFFFF"/>
          <w:rtl/>
        </w:rPr>
      </w:pPr>
      <w:r w:rsidRPr="00BB0069">
        <w:rPr>
          <w:rFonts w:hint="cs"/>
          <w:shd w:val="clear" w:color="auto" w:fill="FFFFFF"/>
          <w:rtl/>
        </w:rPr>
        <w:t>זבחים ע:</w:t>
      </w:r>
    </w:p>
    <w:p w14:paraId="4191E935" w14:textId="77777777" w:rsidR="00892889" w:rsidRPr="00BB0069" w:rsidRDefault="00892889" w:rsidP="00892889">
      <w:pPr>
        <w:pStyle w:val="Heading2"/>
        <w:rPr>
          <w:shd w:val="clear" w:color="auto" w:fill="FFFFFF"/>
          <w:rtl/>
        </w:rPr>
      </w:pPr>
      <w:r w:rsidRPr="00BB0069">
        <w:rPr>
          <w:rFonts w:hint="cs"/>
          <w:shd w:val="clear" w:color="auto" w:fill="FFFFFF"/>
          <w:rtl/>
        </w:rPr>
        <w:t>תוספות שם</w:t>
      </w:r>
    </w:p>
    <w:p w14:paraId="15AC7976" w14:textId="77777777" w:rsidR="00892889" w:rsidRPr="00BB0069" w:rsidRDefault="00892889" w:rsidP="00892889">
      <w:pPr>
        <w:pStyle w:val="Heading2"/>
        <w:rPr>
          <w:shd w:val="clear" w:color="auto" w:fill="FFFFFF"/>
          <w:rtl/>
        </w:rPr>
      </w:pPr>
      <w:r w:rsidRPr="00BB0069">
        <w:rPr>
          <w:rFonts w:hint="cs"/>
          <w:shd w:val="clear" w:color="auto" w:fill="FFFFFF"/>
          <w:rtl/>
        </w:rPr>
        <w:t xml:space="preserve">תוספות טו: ד"ה </w:t>
      </w:r>
      <w:r w:rsidRPr="00BB0069">
        <w:rPr>
          <w:shd w:val="clear" w:color="auto" w:fill="FFFFFF"/>
          <w:rtl/>
        </w:rPr>
        <w:t>אימא לקטלא הוא דאתא</w:t>
      </w:r>
    </w:p>
    <w:p w14:paraId="14BC6A3A" w14:textId="77777777" w:rsidR="00892889" w:rsidRPr="00BB0069" w:rsidRDefault="00892889" w:rsidP="00892889">
      <w:pPr>
        <w:pStyle w:val="Heading2"/>
        <w:rPr>
          <w:shd w:val="clear" w:color="auto" w:fill="FFFFFF"/>
          <w:rtl/>
        </w:rPr>
      </w:pPr>
      <w:r w:rsidRPr="00BB0069">
        <w:rPr>
          <w:rFonts w:hint="cs"/>
          <w:shd w:val="clear" w:color="auto" w:fill="FFFFFF"/>
          <w:rtl/>
        </w:rPr>
        <w:t xml:space="preserve">סנהדרין יט. </w:t>
      </w:r>
      <w:r w:rsidRPr="00BB0069">
        <w:rPr>
          <w:shd w:val="clear" w:color="auto" w:fill="FFFFFF"/>
          <w:rtl/>
        </w:rPr>
        <w:t>–</w:t>
      </w:r>
      <w:r w:rsidRPr="00BB0069">
        <w:rPr>
          <w:rFonts w:hint="cs"/>
          <w:shd w:val="clear" w:color="auto" w:fill="FFFFFF"/>
          <w:rtl/>
        </w:rPr>
        <w:t xml:space="preserve"> אין דנין את המלך</w:t>
      </w:r>
    </w:p>
    <w:p w14:paraId="1B43FC0E" w14:textId="77777777" w:rsidR="00892889" w:rsidRPr="00BB0069" w:rsidRDefault="00892889" w:rsidP="00892889">
      <w:pPr>
        <w:pStyle w:val="Heading2"/>
        <w:rPr>
          <w:shd w:val="clear" w:color="auto" w:fill="FFFFFF"/>
          <w:rtl/>
        </w:rPr>
      </w:pPr>
      <w:r w:rsidRPr="00BB0069">
        <w:rPr>
          <w:shd w:val="clear" w:color="auto" w:fill="FFFFFF"/>
          <w:rtl/>
        </w:rPr>
        <w:t>תוספתא מסכת כלים (בבא קמא) (צוקרמאנדל) פרק א</w:t>
      </w:r>
      <w:r w:rsidRPr="00BB0069">
        <w:rPr>
          <w:rFonts w:hint="cs"/>
          <w:shd w:val="clear" w:color="auto" w:fill="FFFFFF"/>
          <w:rtl/>
        </w:rPr>
        <w:t xml:space="preserve"> הלכה ו</w:t>
      </w:r>
      <w:r w:rsidRPr="00BB0069">
        <w:rPr>
          <w:shd w:val="clear" w:color="auto" w:fill="FFFFFF"/>
          <w:vertAlign w:val="superscript"/>
          <w:rtl/>
        </w:rPr>
        <w:footnoteReference w:id="1"/>
      </w:r>
    </w:p>
    <w:p w14:paraId="4646EC2B" w14:textId="1A29556B" w:rsidR="00892889" w:rsidRPr="00E16FBC" w:rsidRDefault="00892889" w:rsidP="00892889">
      <w:r w:rsidRPr="00BB0069">
        <w:rPr>
          <w:rtl/>
        </w:rPr>
        <w:t>נכנסין לבין האולם ולמזבח שלא רחוץ ידים ורגלים דברי ר' מאיר וחכמים אומרים אין נכנסין אמר שמעון הצנוע לפני ר' אליעזר אני נכנסתי לבין האולם ולמזבח שלא רחוץ ידים ורגלים אמר לו מי חביב אתה או כהן גדול היה שותק אמר לו בוש אתה לומר שכלבו של כהן גדול חביב הימך אמר לו רבי אמרת אמר לו העבודה אפילו כהן גדול פצעין את מוחו בגזירין מה תעשה שלא מצאך בעל הפול ר' יוסי אומר כשם שהכל פורשין מבין האולם ולמזבח בשעת הקטרה כך פורשין בשעת מתן דמים פר כהן משיח פר העלם דבר של צבור ושירי עבודה זרה ודמים של יום הכפורים הוי מה מעלה בין האולם ולמזבח ולהיכל אלא של בין האולם ולמזבח נכנסין לעבודה ושלא לעבודה ולהיכל אין נכנסין אלא לעבודה בלבד:</w:t>
      </w:r>
    </w:p>
    <w:sectPr w:rsidR="00892889" w:rsidRPr="00E16F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0297" w14:textId="77777777" w:rsidR="002714F3" w:rsidRDefault="002714F3" w:rsidP="009F4441">
      <w:pPr>
        <w:spacing w:after="0" w:line="240" w:lineRule="auto"/>
      </w:pPr>
      <w:r>
        <w:separator/>
      </w:r>
    </w:p>
  </w:endnote>
  <w:endnote w:type="continuationSeparator" w:id="0">
    <w:p w14:paraId="7EDF20FC" w14:textId="77777777" w:rsidR="002714F3" w:rsidRDefault="002714F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3A3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C028" w14:textId="77777777" w:rsidR="002714F3" w:rsidRDefault="002714F3" w:rsidP="009F4441">
      <w:pPr>
        <w:spacing w:after="0" w:line="240" w:lineRule="auto"/>
      </w:pPr>
      <w:r>
        <w:separator/>
      </w:r>
    </w:p>
  </w:footnote>
  <w:footnote w:type="continuationSeparator" w:id="0">
    <w:p w14:paraId="3CC807A0" w14:textId="77777777" w:rsidR="002714F3" w:rsidRDefault="002714F3" w:rsidP="009F4441">
      <w:pPr>
        <w:spacing w:after="0" w:line="240" w:lineRule="auto"/>
      </w:pPr>
      <w:r>
        <w:continuationSeparator/>
      </w:r>
    </w:p>
  </w:footnote>
  <w:footnote w:id="1">
    <w:p w14:paraId="3EBEA36B" w14:textId="77777777" w:rsidR="00892889" w:rsidRDefault="00892889" w:rsidP="00892889">
      <w:pPr>
        <w:pStyle w:val="FootnoteText"/>
        <w:rPr>
          <w:rtl/>
        </w:rPr>
      </w:pPr>
      <w:r>
        <w:rPr>
          <w:rStyle w:val="FootnoteReference"/>
        </w:rPr>
        <w:footnoteRef/>
      </w:r>
      <w:r>
        <w:rPr>
          <w:rtl/>
        </w:rPr>
        <w:t xml:space="preserve"> </w:t>
      </w:r>
      <w:r>
        <w:rPr>
          <w:rFonts w:hint="cs"/>
          <w:rtl/>
        </w:rPr>
        <w:t>הובא בתוספות יומא ה:, וכל זה הובא בשם הרוגוצ'ובי ב</w:t>
      </w:r>
      <w:r w:rsidRPr="00773E85">
        <w:rPr>
          <w:rFonts w:hint="cs"/>
          <w:b/>
          <w:bCs/>
          <w:rtl/>
        </w:rPr>
        <w:t xml:space="preserve">דף על הדף </w:t>
      </w:r>
      <w:r>
        <w:rPr>
          <w:rFonts w:hint="cs"/>
          <w:rtl/>
        </w:rPr>
        <w:t xml:space="preserve">כאן בזה"ל: </w:t>
      </w:r>
      <w:r>
        <w:rPr>
          <w:rtl/>
        </w:rPr>
        <w:t>הגאון הרוגאצ'ובי זצ"ל הסביר בדברי הגמ' כמין חומר את דברי התוספתא שמביאים התוס' ביומא (ה ב) "שכלבו של כהן גדול חביב ממך".</w:t>
      </w:r>
      <w:r>
        <w:rPr>
          <w:rFonts w:hint="cs"/>
          <w:rtl/>
        </w:rPr>
        <w:t xml:space="preserve"> </w:t>
      </w:r>
      <w:r>
        <w:rPr>
          <w:rtl/>
        </w:rPr>
        <w:t>כי לשיטה אחת כאן יצטרכו לדון בהמת כהן גדול וה"ה כלבו בב"ד של ע"א, ואילו אותו עצמו בב"ד של כ"ג.</w:t>
      </w:r>
      <w:r>
        <w:rPr>
          <w:rFonts w:hint="cs"/>
          <w:rtl/>
        </w:rPr>
        <w:t xml:space="preserve"> </w:t>
      </w:r>
      <w:r>
        <w:rPr>
          <w:rtl/>
        </w:rPr>
        <w:t>ומעניין לציין שהרב מבענדין בספרו "יכהן פאר" עה"ת מביא מדיליה חידוש זה ומסיים: כן אמרתי לבני ר' יוסיל'י שי'. ואמר לי אחד אשר כן איתא בצפנת פענח מהגאון מרוגיטשוב שליט"א עכ"ד.</w:t>
      </w:r>
    </w:p>
    <w:p w14:paraId="32900688" w14:textId="77777777" w:rsidR="00892889" w:rsidRPr="009560CD" w:rsidRDefault="00892889" w:rsidP="008928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E403" w14:textId="77777777" w:rsidR="00CA1F37" w:rsidRDefault="009F4441" w:rsidP="00CA1F37">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CA1F37">
      <w:rPr>
        <w:rFonts w:hint="cs"/>
        <w:rtl/>
      </w:rPr>
      <w:t xml:space="preserve"> </w:t>
    </w:r>
    <w:r w:rsidRPr="00C52284">
      <w:tab/>
    </w:r>
    <w:r w:rsidRPr="00C52284">
      <w:rPr>
        <w:rtl/>
      </w:rPr>
      <w:tab/>
    </w:r>
    <w:r w:rsidRPr="00C52284">
      <w:tab/>
    </w:r>
    <w:r w:rsidRPr="00C52284">
      <w:rPr>
        <w:rtl/>
      </w:rPr>
      <w:tab/>
    </w:r>
    <w:r>
      <w:rPr>
        <w:rtl/>
      </w:rPr>
      <w:tab/>
    </w:r>
    <w:r w:rsidR="00CA1F37">
      <w:rPr>
        <w:rFonts w:hint="cs"/>
        <w:rtl/>
      </w:rPr>
      <w:t xml:space="preserve">   </w:t>
    </w:r>
    <w:r w:rsidRPr="00C52284">
      <w:rPr>
        <w:rtl/>
      </w:rPr>
      <w:t xml:space="preserve"> </w:t>
    </w:r>
    <w:r>
      <w:rPr>
        <w:rFonts w:hint="cs"/>
        <w:rtl/>
      </w:rPr>
      <w:t xml:space="preserve">מסכת </w:t>
    </w:r>
    <w:r w:rsidR="00CA1F37">
      <w:rPr>
        <w:rFonts w:hint="cs"/>
        <w:rtl/>
      </w:rPr>
      <w:t>בבא קמא טז:-יז.</w:t>
    </w:r>
  </w:p>
  <w:p w14:paraId="53F531A3" w14:textId="77777777" w:rsidR="00E019E9" w:rsidRPr="009F4441" w:rsidRDefault="00CA1F37" w:rsidP="00CA1F37">
    <w:pPr>
      <w:spacing w:after="0" w:line="240" w:lineRule="auto"/>
      <w:jc w:val="center"/>
    </w:pPr>
    <w:r>
      <w:rPr>
        <w:rFonts w:hint="cs"/>
        <w:rtl/>
      </w:rPr>
      <w:t xml:space="preserve"> </w:t>
    </w:r>
    <w:r w:rsidRPr="00CA1F37">
      <w:rPr>
        <w:rtl/>
      </w:rPr>
      <w:t>‏‏‏ג' טבת תשע"ט</w:t>
    </w:r>
    <w:r w:rsidRPr="00CA1F37">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r w:rsidR="00E019E9" w:rsidRPr="00C52284">
      <w:rPr>
        <w:rtl/>
      </w:rPr>
      <w:t xml:space="preserve">שיעור </w:t>
    </w:r>
    <w:r>
      <w:rPr>
        <w:rFonts w:hint="cs"/>
        <w:rtl/>
      </w:rPr>
      <w:t>מ"ד</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37"/>
    <w:rsid w:val="000921AA"/>
    <w:rsid w:val="000C25FD"/>
    <w:rsid w:val="000C2D1B"/>
    <w:rsid w:val="000D7D13"/>
    <w:rsid w:val="00110A29"/>
    <w:rsid w:val="001A3E2F"/>
    <w:rsid w:val="00246E9D"/>
    <w:rsid w:val="002714F3"/>
    <w:rsid w:val="002D7162"/>
    <w:rsid w:val="003436AA"/>
    <w:rsid w:val="00356D54"/>
    <w:rsid w:val="0038150F"/>
    <w:rsid w:val="003B0A75"/>
    <w:rsid w:val="003B48C0"/>
    <w:rsid w:val="00576C43"/>
    <w:rsid w:val="0069516A"/>
    <w:rsid w:val="006A395B"/>
    <w:rsid w:val="00754220"/>
    <w:rsid w:val="00771609"/>
    <w:rsid w:val="007C3C19"/>
    <w:rsid w:val="00892889"/>
    <w:rsid w:val="009F4441"/>
    <w:rsid w:val="00B43CA7"/>
    <w:rsid w:val="00C43894"/>
    <w:rsid w:val="00C47AA7"/>
    <w:rsid w:val="00CA1F37"/>
    <w:rsid w:val="00CC5D7C"/>
    <w:rsid w:val="00DB5D26"/>
    <w:rsid w:val="00DC54F7"/>
    <w:rsid w:val="00E019E9"/>
    <w:rsid w:val="00E16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3EC"/>
  <w15:chartTrackingRefBased/>
  <w15:docId w15:val="{B7EA6773-7BDE-4D40-939B-36491511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F3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F37"/>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A1F37"/>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892889"/>
    <w:rPr>
      <w:rFonts w:ascii="Narkisim" w:hAnsi="Narkisim" w:cs="Narkisim"/>
      <w:sz w:val="20"/>
      <w:szCs w:val="20"/>
    </w:rPr>
  </w:style>
  <w:style w:type="paragraph" w:styleId="FootnoteText">
    <w:name w:val="footnote text"/>
    <w:basedOn w:val="Normal"/>
    <w:link w:val="FootnoteTextChar"/>
    <w:uiPriority w:val="99"/>
    <w:unhideWhenUsed/>
    <w:rsid w:val="00892889"/>
    <w:pPr>
      <w:spacing w:after="0" w:line="240" w:lineRule="auto"/>
    </w:pPr>
    <w:rPr>
      <w:sz w:val="20"/>
      <w:szCs w:val="20"/>
    </w:rPr>
  </w:style>
  <w:style w:type="character" w:customStyle="1" w:styleId="FootnoteTextChar1">
    <w:name w:val="Footnote Text Char1"/>
    <w:basedOn w:val="DefaultParagraphFont"/>
    <w:uiPriority w:val="99"/>
    <w:semiHidden/>
    <w:rsid w:val="00892889"/>
    <w:rPr>
      <w:rFonts w:ascii="Narkisim" w:hAnsi="Narkisim" w:cs="Narkisim"/>
      <w:sz w:val="20"/>
      <w:szCs w:val="20"/>
    </w:rPr>
  </w:style>
  <w:style w:type="character" w:styleId="FootnoteReference">
    <w:name w:val="footnote reference"/>
    <w:basedOn w:val="DefaultParagraphFont"/>
    <w:uiPriority w:val="99"/>
    <w:semiHidden/>
    <w:unhideWhenUsed/>
    <w:rsid w:val="00892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72</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22</cp:revision>
  <dcterms:created xsi:type="dcterms:W3CDTF">2018-12-11T17:53:00Z</dcterms:created>
  <dcterms:modified xsi:type="dcterms:W3CDTF">2018-12-11T19:26:00Z</dcterms:modified>
</cp:coreProperties>
</file>