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C9AC7" w14:textId="77777777" w:rsidR="009F4441" w:rsidRPr="00EA7F40" w:rsidRDefault="009F4441" w:rsidP="009F4441">
      <w:pPr>
        <w:pStyle w:val="Title"/>
        <w:bidi/>
        <w:rPr>
          <w:sz w:val="72"/>
          <w:szCs w:val="72"/>
          <w:rtl/>
        </w:rPr>
      </w:pPr>
      <w:r w:rsidRPr="00EA7F40">
        <w:rPr>
          <w:rFonts w:hint="cs"/>
          <w:sz w:val="72"/>
          <w:szCs w:val="72"/>
          <w:rtl/>
        </w:rPr>
        <w:t xml:space="preserve">עזר לצבי </w:t>
      </w:r>
    </w:p>
    <w:p w14:paraId="41AAB656" w14:textId="73DD086A" w:rsidR="009F4441" w:rsidRDefault="0068708B" w:rsidP="009F4441">
      <w:pPr>
        <w:pStyle w:val="Subtitle"/>
        <w:rPr>
          <w:rFonts w:hint="cs"/>
          <w:rtl/>
        </w:rPr>
      </w:pPr>
      <w:r>
        <w:rPr>
          <w:rFonts w:hint="cs"/>
          <w:rtl/>
        </w:rPr>
        <w:t xml:space="preserve">אקנה, עדות </w:t>
      </w:r>
      <w:r w:rsidR="0086145E">
        <w:rPr>
          <w:rFonts w:hint="cs"/>
          <w:rtl/>
        </w:rPr>
        <w:t>ודיינות נשים</w:t>
      </w:r>
      <w:bookmarkStart w:id="0" w:name="_GoBack"/>
      <w:bookmarkEnd w:id="0"/>
    </w:p>
    <w:p w14:paraId="4D21C667" w14:textId="6568B233" w:rsidR="009F4441" w:rsidRDefault="001E4950" w:rsidP="009F4441">
      <w:pPr>
        <w:pStyle w:val="Heading1"/>
        <w:rPr>
          <w:rtl/>
        </w:rPr>
      </w:pPr>
      <w:r>
        <w:rPr>
          <w:rFonts w:hint="cs"/>
          <w:rtl/>
        </w:rPr>
        <w:t xml:space="preserve">שטרות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שעיבודא</w:t>
      </w:r>
      <w:proofErr w:type="spellEnd"/>
      <w:r>
        <w:rPr>
          <w:rFonts w:hint="cs"/>
          <w:rtl/>
        </w:rPr>
        <w:t xml:space="preserve"> "</w:t>
      </w:r>
      <w:proofErr w:type="spellStart"/>
      <w:r>
        <w:rPr>
          <w:rFonts w:hint="cs"/>
          <w:rtl/>
        </w:rPr>
        <w:t>דאקנה</w:t>
      </w:r>
      <w:proofErr w:type="spellEnd"/>
      <w:r>
        <w:rPr>
          <w:rFonts w:hint="cs"/>
          <w:rtl/>
        </w:rPr>
        <w:t>"</w:t>
      </w:r>
    </w:p>
    <w:p w14:paraId="5DE8E78A" w14:textId="585AC4A5" w:rsidR="009F4441" w:rsidRDefault="00C815AF" w:rsidP="00C815AF">
      <w:pPr>
        <w:pStyle w:val="Heading2"/>
        <w:rPr>
          <w:rtl/>
        </w:rPr>
      </w:pPr>
      <w:r>
        <w:rPr>
          <w:rFonts w:hint="cs"/>
          <w:rtl/>
        </w:rPr>
        <w:t xml:space="preserve">שלחן ערוך חושן משפט </w:t>
      </w:r>
      <w:proofErr w:type="spellStart"/>
      <w:r>
        <w:rPr>
          <w:rFonts w:hint="cs"/>
          <w:rtl/>
        </w:rPr>
        <w:t>ריג:ג</w:t>
      </w:r>
      <w:proofErr w:type="spellEnd"/>
    </w:p>
    <w:p w14:paraId="7702D43E" w14:textId="1D128F50" w:rsidR="00C815AF" w:rsidRDefault="00C815AF" w:rsidP="00C815AF">
      <w:pPr>
        <w:rPr>
          <w:sz w:val="18"/>
          <w:szCs w:val="18"/>
        </w:rPr>
      </w:pPr>
      <w:r w:rsidRPr="00C815AF">
        <w:rPr>
          <w:rtl/>
        </w:rPr>
        <w:t xml:space="preserve">בזמן הזה, אפילו שעבד לו מטלטלי אגב מקרקעי, אינו טורף מטלטלים שמכר או נתן, משום תקנת השוק. יא] ומיהו אם כתב לו: </w:t>
      </w:r>
      <w:proofErr w:type="spellStart"/>
      <w:r w:rsidRPr="00C815AF">
        <w:rPr>
          <w:rtl/>
        </w:rPr>
        <w:t>דאקנה</w:t>
      </w:r>
      <w:proofErr w:type="spellEnd"/>
      <w:r w:rsidRPr="00C815AF">
        <w:rPr>
          <w:rtl/>
        </w:rPr>
        <w:t xml:space="preserve">, ואח"כ </w:t>
      </w:r>
      <w:proofErr w:type="spellStart"/>
      <w:r w:rsidRPr="00C815AF">
        <w:rPr>
          <w:rtl/>
        </w:rPr>
        <w:t>לוה</w:t>
      </w:r>
      <w:proofErr w:type="spellEnd"/>
      <w:r w:rsidRPr="00C815AF">
        <w:rPr>
          <w:rtl/>
        </w:rPr>
        <w:t xml:space="preserve"> מאחר וכתב לו: </w:t>
      </w:r>
      <w:proofErr w:type="spellStart"/>
      <w:r w:rsidRPr="00C815AF">
        <w:rPr>
          <w:rtl/>
        </w:rPr>
        <w:t>דאקנה</w:t>
      </w:r>
      <w:proofErr w:type="spellEnd"/>
      <w:r w:rsidRPr="00C815AF">
        <w:rPr>
          <w:rtl/>
        </w:rPr>
        <w:t xml:space="preserve">, ובשניהם שעבד מטלטלי אגב מקרקעי, וקדם השני ותפס מטלטלים שקנה קודם שלוה ממנו, בא ראשון ומוציא ממנו אפילו בזמן הזה, מפני שאין בזה משום תקנת השוק. </w:t>
      </w:r>
      <w:r w:rsidRPr="00D501EB">
        <w:rPr>
          <w:sz w:val="18"/>
          <w:szCs w:val="18"/>
          <w:rtl/>
        </w:rPr>
        <w:t>(ועיין לעיל סימן ס') וכ"כ בסימן ל"ז סעיף ט"ז.</w:t>
      </w:r>
    </w:p>
    <w:p w14:paraId="63D82EA1" w14:textId="77777777" w:rsidR="00FC1BCF" w:rsidRDefault="00FC1BCF" w:rsidP="00FC1BCF">
      <w:pPr>
        <w:pStyle w:val="Heading1"/>
      </w:pPr>
      <w:bookmarkStart w:id="1" w:name="_Toc521479020"/>
      <w:r>
        <w:rPr>
          <w:rFonts w:hint="cs"/>
          <w:rtl/>
        </w:rPr>
        <w:t>עדות – עד המעיד ועד הרואה</w:t>
      </w:r>
      <w:bookmarkEnd w:id="1"/>
    </w:p>
    <w:p w14:paraId="7781BBB7" w14:textId="77777777" w:rsidR="00FC1BCF" w:rsidRDefault="00FC1BCF" w:rsidP="00FC1BCF">
      <w:pPr>
        <w:pStyle w:val="Heading2"/>
        <w:rPr>
          <w:rtl/>
        </w:rPr>
      </w:pPr>
      <w:r>
        <w:rPr>
          <w:rFonts w:hint="cs"/>
          <w:rtl/>
        </w:rPr>
        <w:t xml:space="preserve">תוספות סנהדרין ח: </w:t>
      </w:r>
    </w:p>
    <w:p w14:paraId="470B4488" w14:textId="77777777" w:rsidR="00FC1BCF" w:rsidRDefault="00FC1BCF" w:rsidP="00FC1BCF">
      <w:pPr>
        <w:pStyle w:val="Heading2"/>
        <w:rPr>
          <w:rtl/>
        </w:rPr>
      </w:pPr>
      <w:r>
        <w:rPr>
          <w:rFonts w:hint="cs"/>
          <w:rtl/>
        </w:rPr>
        <w:t>תוספות מכות ו. ד"ה</w:t>
      </w:r>
    </w:p>
    <w:p w14:paraId="1650E25C" w14:textId="77777777" w:rsidR="00FC1BCF" w:rsidRDefault="00FC1BCF" w:rsidP="00FC1BCF">
      <w:pPr>
        <w:pStyle w:val="Heading2"/>
        <w:rPr>
          <w:rtl/>
        </w:rPr>
      </w:pPr>
      <w:proofErr w:type="spellStart"/>
      <w:r>
        <w:rPr>
          <w:rFonts w:hint="cs"/>
          <w:rtl/>
        </w:rPr>
        <w:t>מהר"ם</w:t>
      </w:r>
      <w:proofErr w:type="spellEnd"/>
      <w:r>
        <w:rPr>
          <w:rFonts w:hint="cs"/>
          <w:rtl/>
        </w:rPr>
        <w:t xml:space="preserve"> לובלין שם</w:t>
      </w:r>
    </w:p>
    <w:p w14:paraId="3808ABCE" w14:textId="77777777" w:rsidR="00FC1BCF" w:rsidRDefault="00FC1BCF" w:rsidP="00FC1BCF">
      <w:pPr>
        <w:rPr>
          <w:rtl/>
        </w:rPr>
      </w:pPr>
      <w:r>
        <w:rPr>
          <w:rFonts w:hint="cs"/>
          <w:rtl/>
        </w:rPr>
        <w:t xml:space="preserve">בא"ד ומבכור שנטל חלק כפשוט וכו' אין לדקדק </w:t>
      </w:r>
      <w:proofErr w:type="spellStart"/>
      <w:r>
        <w:rPr>
          <w:rFonts w:hint="cs"/>
          <w:rtl/>
        </w:rPr>
        <w:t>נמי</w:t>
      </w:r>
      <w:proofErr w:type="spellEnd"/>
      <w:r>
        <w:rPr>
          <w:rFonts w:hint="cs"/>
          <w:rtl/>
        </w:rPr>
        <w:t xml:space="preserve"> כלל רוצה לומר </w:t>
      </w:r>
      <w:proofErr w:type="spellStart"/>
      <w:r>
        <w:rPr>
          <w:rFonts w:hint="cs"/>
          <w:rtl/>
        </w:rPr>
        <w:t>דהתם</w:t>
      </w:r>
      <w:proofErr w:type="spellEnd"/>
      <w:r>
        <w:rPr>
          <w:rFonts w:hint="cs"/>
          <w:rtl/>
        </w:rPr>
        <w:t xml:space="preserve"> היינו טעמא </w:t>
      </w:r>
      <w:proofErr w:type="spellStart"/>
      <w:r>
        <w:rPr>
          <w:rFonts w:hint="cs"/>
          <w:rtl/>
        </w:rPr>
        <w:t>דויתר</w:t>
      </w:r>
      <w:proofErr w:type="spellEnd"/>
      <w:r>
        <w:rPr>
          <w:rFonts w:hint="cs"/>
          <w:rtl/>
        </w:rPr>
        <w:t xml:space="preserve"> ונמחל אפילו בלא קנין משום </w:t>
      </w:r>
      <w:proofErr w:type="spellStart"/>
      <w:r>
        <w:rPr>
          <w:rFonts w:hint="cs"/>
          <w:rtl/>
        </w:rPr>
        <w:t>דעדיין</w:t>
      </w:r>
      <w:proofErr w:type="spellEnd"/>
      <w:r>
        <w:rPr>
          <w:rFonts w:hint="cs"/>
          <w:rtl/>
        </w:rPr>
        <w:t xml:space="preserve"> לא הגיעה החלק בכורה לידו ולא זכה בו עדיין ומקרא </w:t>
      </w:r>
      <w:proofErr w:type="spellStart"/>
      <w:r>
        <w:rPr>
          <w:rFonts w:hint="cs"/>
          <w:rtl/>
        </w:rPr>
        <w:t>דכתיב</w:t>
      </w:r>
      <w:proofErr w:type="spellEnd"/>
      <w:r>
        <w:rPr>
          <w:rFonts w:hint="cs"/>
          <w:rtl/>
        </w:rPr>
        <w:t xml:space="preserve"> לתת לו </w:t>
      </w:r>
      <w:proofErr w:type="spellStart"/>
      <w:r>
        <w:rPr>
          <w:rFonts w:hint="cs"/>
          <w:rtl/>
        </w:rPr>
        <w:t>ילפינן</w:t>
      </w:r>
      <w:proofErr w:type="spellEnd"/>
      <w:r>
        <w:rPr>
          <w:rFonts w:hint="cs"/>
          <w:rtl/>
        </w:rPr>
        <w:t xml:space="preserve"> שם בבא בתרא פ' יש </w:t>
      </w:r>
      <w:proofErr w:type="spellStart"/>
      <w:r>
        <w:rPr>
          <w:rFonts w:hint="cs"/>
          <w:rtl/>
        </w:rPr>
        <w:t>נוחלין</w:t>
      </w:r>
      <w:proofErr w:type="spellEnd"/>
      <w:r>
        <w:rPr>
          <w:rFonts w:hint="cs"/>
          <w:rtl/>
        </w:rPr>
        <w:t xml:space="preserve"> דף קכ"ד </w:t>
      </w:r>
      <w:proofErr w:type="spellStart"/>
      <w:r>
        <w:rPr>
          <w:rFonts w:hint="cs"/>
          <w:rtl/>
        </w:rPr>
        <w:t>דאם</w:t>
      </w:r>
      <w:proofErr w:type="spellEnd"/>
      <w:r>
        <w:rPr>
          <w:rFonts w:hint="cs"/>
          <w:rtl/>
        </w:rPr>
        <w:t xml:space="preserve"> אמר הבכור איני נוטל ואיני נותן רשאי דמתנה </w:t>
      </w:r>
      <w:proofErr w:type="spellStart"/>
      <w:r>
        <w:rPr>
          <w:rFonts w:hint="cs"/>
          <w:rtl/>
        </w:rPr>
        <w:t>קרייה</w:t>
      </w:r>
      <w:proofErr w:type="spellEnd"/>
      <w:r>
        <w:rPr>
          <w:rFonts w:hint="cs"/>
          <w:rtl/>
        </w:rPr>
        <w:t xml:space="preserve"> רחמנא ואין להכריח לאדם שיקבל מתנה בעל </w:t>
      </w:r>
      <w:proofErr w:type="spellStart"/>
      <w:r>
        <w:rPr>
          <w:rFonts w:hint="cs"/>
          <w:rtl/>
        </w:rPr>
        <w:t>כרחו</w:t>
      </w:r>
      <w:proofErr w:type="spellEnd"/>
      <w:r>
        <w:rPr>
          <w:rFonts w:hint="cs"/>
          <w:rtl/>
        </w:rPr>
        <w:t xml:space="preserve"> וכיון שעדיין לא הגיע לידו יכול למחלה לאחיו אפילו בלא קנין אבל דבר שכבר נקנה והגיע ליד האדם אינו יכול לסלק עצמו ממנו ולמחול באמירה בעלמא אם לא </w:t>
      </w:r>
      <w:proofErr w:type="spellStart"/>
      <w:r>
        <w:rPr>
          <w:rFonts w:hint="cs"/>
          <w:rtl/>
        </w:rPr>
        <w:t>בקנין</w:t>
      </w:r>
      <w:proofErr w:type="spellEnd"/>
      <w:r>
        <w:rPr>
          <w:rFonts w:hint="cs"/>
          <w:rtl/>
        </w:rPr>
        <w:t xml:space="preserve"> כמו חלק פשיטות אין יכול למחול באמירה בעלמא כמבואר שם ועיין בפרק יש </w:t>
      </w:r>
      <w:proofErr w:type="spellStart"/>
      <w:r>
        <w:rPr>
          <w:rFonts w:hint="cs"/>
          <w:rtl/>
        </w:rPr>
        <w:t>נוחלין</w:t>
      </w:r>
      <w:proofErr w:type="spellEnd"/>
      <w:r>
        <w:rPr>
          <w:rFonts w:hint="cs"/>
          <w:rtl/>
        </w:rPr>
        <w:t xml:space="preserve"> דף קכ"ד </w:t>
      </w:r>
      <w:proofErr w:type="spellStart"/>
      <w:r>
        <w:rPr>
          <w:rFonts w:hint="cs"/>
          <w:rtl/>
        </w:rPr>
        <w:t>ובתוס</w:t>
      </w:r>
      <w:proofErr w:type="spellEnd"/>
      <w:r>
        <w:rPr>
          <w:rFonts w:hint="cs"/>
          <w:rtl/>
        </w:rPr>
        <w:t xml:space="preserve">' שם ד"ה ואם אמר איני נוטל וכו' ובדף קכ"ו </w:t>
      </w:r>
      <w:proofErr w:type="spellStart"/>
      <w:r>
        <w:rPr>
          <w:rFonts w:hint="cs"/>
          <w:rtl/>
        </w:rPr>
        <w:t>במימרא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דבכור</w:t>
      </w:r>
      <w:proofErr w:type="spellEnd"/>
      <w:r>
        <w:rPr>
          <w:rFonts w:hint="cs"/>
          <w:rtl/>
        </w:rPr>
        <w:t xml:space="preserve"> שנטל חלק כפשוט ויתר </w:t>
      </w:r>
      <w:proofErr w:type="spellStart"/>
      <w:r>
        <w:rPr>
          <w:rFonts w:hint="cs"/>
          <w:rtl/>
        </w:rPr>
        <w:t>וכו</w:t>
      </w:r>
      <w:proofErr w:type="spellEnd"/>
      <w:r>
        <w:rPr>
          <w:rFonts w:hint="cs"/>
          <w:rtl/>
        </w:rPr>
        <w:t>':</w:t>
      </w:r>
    </w:p>
    <w:p w14:paraId="3FB3C325" w14:textId="77777777" w:rsidR="00FC1BCF" w:rsidRDefault="00FC1BCF" w:rsidP="00FC1BCF">
      <w:pPr>
        <w:pStyle w:val="Heading2"/>
      </w:pPr>
      <w:r>
        <w:rPr>
          <w:rFonts w:hint="cs"/>
          <w:rtl/>
        </w:rPr>
        <w:t>ערוך לנר שם</w:t>
      </w:r>
    </w:p>
    <w:p w14:paraId="6E523CF4" w14:textId="77777777" w:rsidR="00FC1BCF" w:rsidRDefault="00FC1BCF" w:rsidP="00FC1BCF">
      <w:pPr>
        <w:rPr>
          <w:rtl/>
        </w:rPr>
      </w:pPr>
      <w:r>
        <w:rPr>
          <w:rFonts w:hint="cs"/>
          <w:rtl/>
        </w:rPr>
        <w:t xml:space="preserve">בד"ה נרבע. ועוד אמר הר' יוסף. עיין במהר"ם שהקשה על זה </w:t>
      </w:r>
      <w:proofErr w:type="spellStart"/>
      <w:r>
        <w:rPr>
          <w:rFonts w:hint="cs"/>
          <w:rtl/>
        </w:rPr>
        <w:t>דא"כ</w:t>
      </w:r>
      <w:proofErr w:type="spellEnd"/>
      <w:r>
        <w:rPr>
          <w:rFonts w:hint="cs"/>
          <w:rtl/>
        </w:rPr>
        <w:t xml:space="preserve"> למה נקט נרבע טפי מכל העריות. ולענ"ד </w:t>
      </w:r>
      <w:proofErr w:type="spellStart"/>
      <w:r>
        <w:rPr>
          <w:rFonts w:hint="cs"/>
          <w:rtl/>
        </w:rPr>
        <w:t>י"ל</w:t>
      </w:r>
      <w:proofErr w:type="spellEnd"/>
      <w:r>
        <w:rPr>
          <w:rFonts w:hint="cs"/>
          <w:rtl/>
        </w:rPr>
        <w:t xml:space="preserve"> ע"פ </w:t>
      </w:r>
      <w:proofErr w:type="spellStart"/>
      <w:r>
        <w:rPr>
          <w:rFonts w:hint="cs"/>
          <w:rtl/>
        </w:rPr>
        <w:t>מש"כ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התוס</w:t>
      </w:r>
      <w:proofErr w:type="spellEnd"/>
      <w:r>
        <w:rPr>
          <w:rFonts w:hint="cs"/>
          <w:rtl/>
        </w:rPr>
        <w:t xml:space="preserve">' סנהדרין (ט ב ד"ה לרצונו) וכ"כ גם </w:t>
      </w:r>
      <w:proofErr w:type="spellStart"/>
      <w:r>
        <w:rPr>
          <w:rFonts w:hint="cs"/>
          <w:rtl/>
        </w:rPr>
        <w:t>הריטב"א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בשמעתין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דא"ל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דלמא</w:t>
      </w:r>
      <w:proofErr w:type="spellEnd"/>
      <w:r>
        <w:rPr>
          <w:rFonts w:hint="cs"/>
          <w:rtl/>
        </w:rPr>
        <w:t xml:space="preserve"> באמת הדין כן כשהם קרובים מצילים </w:t>
      </w:r>
      <w:proofErr w:type="spellStart"/>
      <w:r>
        <w:rPr>
          <w:rFonts w:hint="cs"/>
          <w:rtl/>
        </w:rPr>
        <w:t>דהא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דרשינן</w:t>
      </w:r>
      <w:proofErr w:type="spellEnd"/>
      <w:r>
        <w:rPr>
          <w:rFonts w:hint="cs"/>
          <w:rtl/>
        </w:rPr>
        <w:t xml:space="preserve"> ערות אביך ערות אביך ממש ע"ש, </w:t>
      </w:r>
      <w:proofErr w:type="spellStart"/>
      <w:r>
        <w:rPr>
          <w:rFonts w:hint="cs"/>
          <w:rtl/>
        </w:rPr>
        <w:t>ולפ"ז</w:t>
      </w:r>
      <w:proofErr w:type="spellEnd"/>
      <w:r>
        <w:rPr>
          <w:rFonts w:hint="cs"/>
          <w:rtl/>
        </w:rPr>
        <w:t xml:space="preserve"> א"ש </w:t>
      </w:r>
      <w:proofErr w:type="spellStart"/>
      <w:r>
        <w:rPr>
          <w:rFonts w:hint="cs"/>
          <w:rtl/>
        </w:rPr>
        <w:t>דנקט</w:t>
      </w:r>
      <w:proofErr w:type="spellEnd"/>
      <w:r>
        <w:rPr>
          <w:rFonts w:hint="cs"/>
          <w:rtl/>
        </w:rPr>
        <w:t xml:space="preserve"> נרבע יותר משאר עריות </w:t>
      </w:r>
      <w:proofErr w:type="spellStart"/>
      <w:r>
        <w:rPr>
          <w:rFonts w:hint="cs"/>
          <w:rtl/>
        </w:rPr>
        <w:t>דבשאר</w:t>
      </w:r>
      <w:proofErr w:type="spellEnd"/>
      <w:r>
        <w:rPr>
          <w:rFonts w:hint="cs"/>
          <w:rtl/>
        </w:rPr>
        <w:t xml:space="preserve"> עריות הי' אפשר לומר </w:t>
      </w:r>
      <w:proofErr w:type="spellStart"/>
      <w:r>
        <w:rPr>
          <w:rFonts w:hint="cs"/>
          <w:rtl/>
        </w:rPr>
        <w:t>דבאמת</w:t>
      </w:r>
      <w:proofErr w:type="spellEnd"/>
      <w:r>
        <w:rPr>
          <w:rFonts w:hint="cs"/>
          <w:rtl/>
        </w:rPr>
        <w:t xml:space="preserve"> הדין כן. אלא </w:t>
      </w:r>
      <w:proofErr w:type="spellStart"/>
      <w:r>
        <w:rPr>
          <w:rFonts w:hint="cs"/>
          <w:rtl/>
        </w:rPr>
        <w:t>דאכתי</w:t>
      </w:r>
      <w:proofErr w:type="spellEnd"/>
      <w:r>
        <w:rPr>
          <w:rFonts w:hint="cs"/>
          <w:rtl/>
        </w:rPr>
        <w:t xml:space="preserve"> יקשה מבתו וכלתו וחמותו שהם קרובות ויצילו הן עליו והוא עליהן, אכן באמת </w:t>
      </w:r>
      <w:proofErr w:type="spellStart"/>
      <w:r>
        <w:rPr>
          <w:rFonts w:hint="cs"/>
          <w:rtl/>
        </w:rPr>
        <w:t>בלא"ה</w:t>
      </w:r>
      <w:proofErr w:type="spellEnd"/>
      <w:r>
        <w:rPr>
          <w:rFonts w:hint="cs"/>
          <w:rtl/>
        </w:rPr>
        <w:t xml:space="preserve"> לא הבנתי </w:t>
      </w:r>
      <w:proofErr w:type="spellStart"/>
      <w:r>
        <w:rPr>
          <w:rFonts w:hint="cs"/>
          <w:rtl/>
        </w:rPr>
        <w:t>קושית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המהר"ם</w:t>
      </w:r>
      <w:proofErr w:type="spellEnd"/>
      <w:r>
        <w:rPr>
          <w:rFonts w:hint="cs"/>
          <w:rtl/>
        </w:rPr>
        <w:t xml:space="preserve"> דודאי לא שייך </w:t>
      </w:r>
      <w:proofErr w:type="spellStart"/>
      <w:r>
        <w:rPr>
          <w:rFonts w:hint="cs"/>
          <w:rtl/>
        </w:rPr>
        <w:t>דקרוב</w:t>
      </w:r>
      <w:proofErr w:type="spellEnd"/>
      <w:r>
        <w:rPr>
          <w:rFonts w:hint="cs"/>
          <w:rtl/>
        </w:rPr>
        <w:t xml:space="preserve"> או פסול מבטל עדות האחרים אלא כשהוא ראוי להיות עד במקום אחר אי לאו </w:t>
      </w:r>
      <w:proofErr w:type="spellStart"/>
      <w:r>
        <w:rPr>
          <w:rFonts w:hint="cs"/>
          <w:rtl/>
        </w:rPr>
        <w:t>פסולו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דבזה</w:t>
      </w:r>
      <w:proofErr w:type="spellEnd"/>
      <w:r>
        <w:rPr>
          <w:rFonts w:hint="cs"/>
          <w:rtl/>
        </w:rPr>
        <w:t xml:space="preserve"> שייך לומר שהוא בכלל ג' עדים, אבל מי שאין ראוי להיות עד לעולם לא שייך ג"כ לבטל עדות </w:t>
      </w:r>
      <w:proofErr w:type="spellStart"/>
      <w:r>
        <w:rPr>
          <w:rFonts w:hint="cs"/>
          <w:rtl/>
        </w:rPr>
        <w:t>דהא</w:t>
      </w:r>
      <w:proofErr w:type="spellEnd"/>
      <w:r>
        <w:rPr>
          <w:rFonts w:hint="cs"/>
          <w:rtl/>
        </w:rPr>
        <w:t xml:space="preserve"> אין שייך אצלו צרוף לעדות כלל, ולכן כשפריך נרבע יציל לא הי' יכול להקשות משאר עריות </w:t>
      </w:r>
      <w:proofErr w:type="spellStart"/>
      <w:r>
        <w:rPr>
          <w:rFonts w:hint="cs"/>
          <w:rtl/>
        </w:rPr>
        <w:t>דבכולם</w:t>
      </w:r>
      <w:proofErr w:type="spellEnd"/>
      <w:r>
        <w:rPr>
          <w:rFonts w:hint="cs"/>
          <w:rtl/>
        </w:rPr>
        <w:t xml:space="preserve"> הנבעלים הם נשים שפסולים </w:t>
      </w:r>
      <w:proofErr w:type="spellStart"/>
      <w:r>
        <w:rPr>
          <w:rFonts w:hint="cs"/>
          <w:rtl/>
        </w:rPr>
        <w:t>בלא"ה</w:t>
      </w:r>
      <w:proofErr w:type="spellEnd"/>
      <w:r>
        <w:rPr>
          <w:rFonts w:hint="cs"/>
          <w:rtl/>
        </w:rPr>
        <w:t xml:space="preserve"> להעיד ולא שייך שיבטלו עדות האחרים ולכן לא פריך רק </w:t>
      </w:r>
      <w:proofErr w:type="spellStart"/>
      <w:r>
        <w:rPr>
          <w:rFonts w:hint="cs"/>
          <w:rtl/>
        </w:rPr>
        <w:t>מנרבע</w:t>
      </w:r>
      <w:proofErr w:type="spellEnd"/>
      <w:r>
        <w:rPr>
          <w:rFonts w:hint="cs"/>
          <w:rtl/>
        </w:rPr>
        <w:t xml:space="preserve"> שהוא ג"כ איש. ואף </w:t>
      </w:r>
      <w:proofErr w:type="spellStart"/>
      <w:r>
        <w:rPr>
          <w:rFonts w:hint="cs"/>
          <w:rtl/>
        </w:rPr>
        <w:t>דבשפריך</w:t>
      </w:r>
      <w:proofErr w:type="spellEnd"/>
      <w:r>
        <w:rPr>
          <w:rFonts w:hint="cs"/>
          <w:rtl/>
        </w:rPr>
        <w:t xml:space="preserve"> אח"כ מרובע שיציל בזה הי' יכול להקשות מבא על כל העריות, מכל מקום איידי </w:t>
      </w:r>
      <w:proofErr w:type="spellStart"/>
      <w:r>
        <w:rPr>
          <w:rFonts w:hint="cs"/>
          <w:rtl/>
        </w:rPr>
        <w:t>דאיירי</w:t>
      </w:r>
      <w:proofErr w:type="spellEnd"/>
      <w:r>
        <w:rPr>
          <w:rFonts w:hint="cs"/>
          <w:rtl/>
        </w:rPr>
        <w:t xml:space="preserve"> ממיתת רובע כשפריך </w:t>
      </w:r>
      <w:proofErr w:type="spellStart"/>
      <w:r>
        <w:rPr>
          <w:rFonts w:hint="cs"/>
          <w:rtl/>
        </w:rPr>
        <w:t>מנרבע</w:t>
      </w:r>
      <w:proofErr w:type="spellEnd"/>
      <w:r>
        <w:rPr>
          <w:rFonts w:hint="cs"/>
          <w:rtl/>
        </w:rPr>
        <w:t xml:space="preserve"> פריך ג"כ מרובע דמאי שנא</w:t>
      </w:r>
    </w:p>
    <w:p w14:paraId="63F946AA" w14:textId="77777777" w:rsidR="00FC1BCF" w:rsidRDefault="00FC1BCF" w:rsidP="00FC1BCF">
      <w:pPr>
        <w:pStyle w:val="Heading2"/>
        <w:rPr>
          <w:rtl/>
        </w:rPr>
      </w:pPr>
      <w:r>
        <w:rPr>
          <w:rFonts w:hint="cs"/>
          <w:rtl/>
        </w:rPr>
        <w:t xml:space="preserve">נתיבות המשפט חידושים סימן </w:t>
      </w:r>
      <w:proofErr w:type="spellStart"/>
      <w:r>
        <w:rPr>
          <w:rFonts w:hint="cs"/>
          <w:rtl/>
        </w:rPr>
        <w:t>לו:י</w:t>
      </w:r>
      <w:proofErr w:type="spellEnd"/>
    </w:p>
    <w:p w14:paraId="6D18C27E" w14:textId="77777777" w:rsidR="00FC1BCF" w:rsidRDefault="00FC1BCF" w:rsidP="00FC1BCF">
      <w:pPr>
        <w:rPr>
          <w:rtl/>
        </w:rPr>
      </w:pPr>
      <w:proofErr w:type="spellStart"/>
      <w:r>
        <w:rPr>
          <w:rFonts w:hint="cs"/>
          <w:rtl/>
        </w:rPr>
        <w:t>דאלו</w:t>
      </w:r>
      <w:proofErr w:type="spellEnd"/>
      <w:r>
        <w:rPr>
          <w:rFonts w:hint="cs"/>
          <w:rtl/>
        </w:rPr>
        <w:t xml:space="preserve"> לא </w:t>
      </w:r>
      <w:proofErr w:type="spellStart"/>
      <w:r>
        <w:rPr>
          <w:rFonts w:hint="cs"/>
          <w:rtl/>
        </w:rPr>
        <w:t>נתכונו</w:t>
      </w:r>
      <w:proofErr w:type="spellEnd"/>
      <w:r>
        <w:rPr>
          <w:rFonts w:hint="cs"/>
          <w:rtl/>
        </w:rPr>
        <w:t xml:space="preserve">. הלשון אינו מדוקדק, </w:t>
      </w:r>
      <w:proofErr w:type="spellStart"/>
      <w:r>
        <w:rPr>
          <w:rFonts w:hint="cs"/>
          <w:rtl/>
        </w:rPr>
        <w:t>דאפילו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נתכונו</w:t>
      </w:r>
      <w:proofErr w:type="spellEnd"/>
      <w:r>
        <w:rPr>
          <w:rFonts w:hint="cs"/>
          <w:rtl/>
        </w:rPr>
        <w:t xml:space="preserve">, מכל מקום כיון שהפסול הוא מטעם נוגע, אינו בכלל קרוב או פסול, </w:t>
      </w:r>
      <w:proofErr w:type="spellStart"/>
      <w:r>
        <w:rPr>
          <w:rFonts w:hint="cs"/>
          <w:rtl/>
        </w:rPr>
        <w:t>דנוגע</w:t>
      </w:r>
      <w:proofErr w:type="spellEnd"/>
      <w:r>
        <w:rPr>
          <w:rFonts w:hint="cs"/>
          <w:rtl/>
        </w:rPr>
        <w:t xml:space="preserve"> הוא בגדר בעל דבר ולא בגדר עדות, ולא שייך לומר בזה עדות שבטלה מקצתה, </w:t>
      </w:r>
      <w:proofErr w:type="spellStart"/>
      <w:r>
        <w:rPr>
          <w:rFonts w:hint="cs"/>
          <w:rtl/>
        </w:rPr>
        <w:t>דאינן</w:t>
      </w:r>
      <w:proofErr w:type="spellEnd"/>
      <w:r>
        <w:rPr>
          <w:rFonts w:hint="cs"/>
          <w:rtl/>
        </w:rPr>
        <w:t xml:space="preserve"> בגדר עדות כלל. </w:t>
      </w:r>
      <w:proofErr w:type="spellStart"/>
      <w:r>
        <w:rPr>
          <w:rFonts w:hint="cs"/>
          <w:rtl/>
        </w:rPr>
        <w:t>ש"ך</w:t>
      </w:r>
      <w:proofErr w:type="spellEnd"/>
      <w:r>
        <w:rPr>
          <w:rFonts w:hint="cs"/>
          <w:rtl/>
        </w:rPr>
        <w:t xml:space="preserve"> [</w:t>
      </w:r>
      <w:proofErr w:type="spellStart"/>
      <w:r>
        <w:rPr>
          <w:rFonts w:hint="cs"/>
          <w:rtl/>
        </w:rPr>
        <w:t>סקט"ו</w:t>
      </w:r>
      <w:proofErr w:type="spellEnd"/>
      <w:r>
        <w:t>].</w:t>
      </w:r>
    </w:p>
    <w:p w14:paraId="69EA5AB3" w14:textId="77777777" w:rsidR="00FC1BCF" w:rsidRDefault="00FC1BCF" w:rsidP="00FC1BCF">
      <w:pPr>
        <w:pStyle w:val="Heading2"/>
        <w:rPr>
          <w:rtl/>
        </w:rPr>
      </w:pPr>
      <w:r>
        <w:rPr>
          <w:rFonts w:hint="cs"/>
          <w:rtl/>
        </w:rPr>
        <w:t>שם בביאורים</w:t>
      </w:r>
    </w:p>
    <w:p w14:paraId="5EA679D7" w14:textId="77777777" w:rsidR="00FC1BCF" w:rsidRDefault="00FC1BCF" w:rsidP="00FC1BCF">
      <w:r>
        <w:rPr>
          <w:rFonts w:eastAsia="Narkisim" w:hint="cs"/>
          <w:rtl/>
        </w:rPr>
        <w:t>ונאמן לומר שלא הכיר. עיין תומים [</w:t>
      </w:r>
      <w:proofErr w:type="spellStart"/>
      <w:r>
        <w:rPr>
          <w:rFonts w:eastAsia="Narkisim" w:hint="cs"/>
          <w:rtl/>
        </w:rPr>
        <w:t>סק"ט</w:t>
      </w:r>
      <w:proofErr w:type="spellEnd"/>
      <w:r>
        <w:rPr>
          <w:rFonts w:eastAsia="Narkisim" w:hint="cs"/>
          <w:rtl/>
        </w:rPr>
        <w:t xml:space="preserve">] שחילק, </w:t>
      </w:r>
      <w:proofErr w:type="spellStart"/>
      <w:r>
        <w:rPr>
          <w:rFonts w:eastAsia="Narkisim" w:hint="cs"/>
          <w:rtl/>
        </w:rPr>
        <w:t>דבקורבת</w:t>
      </w:r>
      <w:proofErr w:type="spellEnd"/>
      <w:r>
        <w:rPr>
          <w:rFonts w:eastAsia="Narkisim" w:hint="cs"/>
          <w:rtl/>
        </w:rPr>
        <w:t xml:space="preserve"> העדים </w:t>
      </w:r>
      <w:proofErr w:type="spellStart"/>
      <w:r>
        <w:rPr>
          <w:rFonts w:eastAsia="Narkisim" w:hint="cs"/>
          <w:rtl/>
        </w:rPr>
        <w:t>אמרינן</w:t>
      </w:r>
      <w:proofErr w:type="spellEnd"/>
      <w:r>
        <w:rPr>
          <w:rFonts w:eastAsia="Narkisim" w:hint="cs"/>
          <w:rtl/>
        </w:rPr>
        <w:t xml:space="preserve"> מסתמא ידעו </w:t>
      </w:r>
      <w:proofErr w:type="spellStart"/>
      <w:r>
        <w:rPr>
          <w:rFonts w:eastAsia="Narkisim" w:hint="cs"/>
          <w:rtl/>
        </w:rPr>
        <w:t>מהקורבה</w:t>
      </w:r>
      <w:proofErr w:type="spellEnd"/>
      <w:r>
        <w:rPr>
          <w:rFonts w:eastAsia="Narkisim" w:hint="cs"/>
          <w:rtl/>
        </w:rPr>
        <w:t xml:space="preserve">, אבל באחד שקרוב </w:t>
      </w:r>
      <w:proofErr w:type="spellStart"/>
      <w:r>
        <w:rPr>
          <w:rFonts w:eastAsia="Narkisim" w:hint="cs"/>
          <w:rtl/>
        </w:rPr>
        <w:t>ללוה</w:t>
      </w:r>
      <w:proofErr w:type="spellEnd"/>
      <w:r>
        <w:rPr>
          <w:rFonts w:eastAsia="Narkisim" w:hint="cs"/>
          <w:rtl/>
        </w:rPr>
        <w:t xml:space="preserve"> </w:t>
      </w:r>
      <w:proofErr w:type="spellStart"/>
      <w:r>
        <w:rPr>
          <w:rFonts w:eastAsia="Narkisim" w:hint="cs"/>
          <w:rtl/>
        </w:rPr>
        <w:t>אמרינן</w:t>
      </w:r>
      <w:proofErr w:type="spellEnd"/>
      <w:r>
        <w:rPr>
          <w:rFonts w:eastAsia="Narkisim" w:hint="cs"/>
          <w:rtl/>
        </w:rPr>
        <w:t xml:space="preserve"> מסתמא לא ידע </w:t>
      </w:r>
      <w:proofErr w:type="spellStart"/>
      <w:r>
        <w:rPr>
          <w:rFonts w:eastAsia="Narkisim" w:hint="cs"/>
          <w:rtl/>
        </w:rPr>
        <w:t>מהקורבה</w:t>
      </w:r>
      <w:proofErr w:type="spellEnd"/>
      <w:r>
        <w:rPr>
          <w:rFonts w:eastAsia="Narkisim" w:hint="cs"/>
          <w:rtl/>
        </w:rPr>
        <w:t>. ועוד כתב [</w:t>
      </w:r>
      <w:proofErr w:type="spellStart"/>
      <w:r>
        <w:rPr>
          <w:rFonts w:eastAsia="Narkisim" w:hint="cs"/>
          <w:rtl/>
        </w:rPr>
        <w:t>סקי"א</w:t>
      </w:r>
      <w:proofErr w:type="spellEnd"/>
      <w:r>
        <w:rPr>
          <w:rFonts w:eastAsia="Narkisim" w:hint="cs"/>
          <w:rtl/>
        </w:rPr>
        <w:t xml:space="preserve">], </w:t>
      </w:r>
      <w:proofErr w:type="spellStart"/>
      <w:r>
        <w:rPr>
          <w:rFonts w:eastAsia="Narkisim" w:hint="cs"/>
          <w:rtl/>
        </w:rPr>
        <w:t>דאשה</w:t>
      </w:r>
      <w:proofErr w:type="spellEnd"/>
      <w:r>
        <w:rPr>
          <w:rFonts w:eastAsia="Narkisim" w:hint="cs"/>
          <w:rtl/>
        </w:rPr>
        <w:t xml:space="preserve"> כיון דאינה ראויה להעיד לא </w:t>
      </w:r>
      <w:proofErr w:type="spellStart"/>
      <w:r>
        <w:rPr>
          <w:rFonts w:eastAsia="Narkisim" w:hint="cs"/>
          <w:rtl/>
        </w:rPr>
        <w:t>מיחשב</w:t>
      </w:r>
      <w:proofErr w:type="spellEnd"/>
      <w:r>
        <w:rPr>
          <w:rFonts w:eastAsia="Narkisim" w:hint="cs"/>
          <w:rtl/>
        </w:rPr>
        <w:t xml:space="preserve"> קרוב או פסול </w:t>
      </w:r>
      <w:r>
        <w:rPr>
          <w:rFonts w:eastAsia="Narkisim" w:hint="cs"/>
          <w:rtl/>
        </w:rPr>
        <w:lastRenderedPageBreak/>
        <w:t xml:space="preserve">ולא </w:t>
      </w:r>
      <w:proofErr w:type="spellStart"/>
      <w:r>
        <w:rPr>
          <w:rFonts w:eastAsia="Narkisim" w:hint="cs"/>
          <w:rtl/>
        </w:rPr>
        <w:t>נתבטלה</w:t>
      </w:r>
      <w:proofErr w:type="spellEnd"/>
      <w:r>
        <w:rPr>
          <w:rFonts w:eastAsia="Narkisim" w:hint="cs"/>
          <w:rtl/>
        </w:rPr>
        <w:t xml:space="preserve"> העדות בשבילה, אבל פסול דרבנן מבטל העדות. ומדבריו יש ללמוד דהוא הדין גוי וקטן אינן </w:t>
      </w:r>
      <w:proofErr w:type="spellStart"/>
      <w:r>
        <w:rPr>
          <w:rFonts w:eastAsia="Narkisim" w:hint="cs"/>
          <w:rtl/>
        </w:rPr>
        <w:t>מבטלין</w:t>
      </w:r>
      <w:proofErr w:type="spellEnd"/>
      <w:r>
        <w:rPr>
          <w:rFonts w:eastAsia="Narkisim" w:hint="cs"/>
          <w:rtl/>
        </w:rPr>
        <w:t xml:space="preserve"> עדות הכשרים.</w:t>
      </w:r>
    </w:p>
    <w:p w14:paraId="6C10B8BE" w14:textId="77777777" w:rsidR="00FC1BCF" w:rsidRPr="00FC1BCF" w:rsidRDefault="00FC1BCF" w:rsidP="00C815AF">
      <w:pPr>
        <w:rPr>
          <w:sz w:val="18"/>
          <w:szCs w:val="18"/>
          <w:rtl/>
        </w:rPr>
      </w:pPr>
    </w:p>
    <w:p w14:paraId="2F4F5F33" w14:textId="77777777" w:rsidR="00490BEC" w:rsidRDefault="00490BEC" w:rsidP="00F01191">
      <w:pPr>
        <w:pStyle w:val="Heading1"/>
      </w:pPr>
      <w:bookmarkStart w:id="2" w:name="_Toc521478930"/>
      <w:bookmarkStart w:id="3" w:name="_Ref454400014"/>
      <w:r>
        <w:rPr>
          <w:rFonts w:hint="cs"/>
          <w:rtl/>
        </w:rPr>
        <w:t>סמיכה – נשים</w:t>
      </w:r>
      <w:bookmarkEnd w:id="2"/>
      <w:bookmarkEnd w:id="3"/>
    </w:p>
    <w:p w14:paraId="130405DD" w14:textId="77777777" w:rsidR="00490BEC" w:rsidRDefault="0086145E" w:rsidP="00F01191">
      <w:pPr>
        <w:pStyle w:val="Heading2"/>
      </w:pPr>
      <w:hyperlink r:id="rId6" w:history="1">
        <w:r w:rsidR="00490BEC">
          <w:rPr>
            <w:rStyle w:val="Hyperlink"/>
            <w:rFonts w:eastAsiaTheme="minorHAnsi" w:hint="cs"/>
            <w:rtl/>
          </w:rPr>
          <w:t>שיעורי הרב על הלכות שחיטה, מליחה, בב"ח ותערובות</w:t>
        </w:r>
      </w:hyperlink>
      <w:r w:rsidR="00490BEC">
        <w:rPr>
          <w:rFonts w:hint="cs"/>
          <w:rtl/>
        </w:rPr>
        <w:t xml:space="preserve"> סימן א</w:t>
      </w:r>
    </w:p>
    <w:p w14:paraId="1C61BD10" w14:textId="09909D0D" w:rsidR="00490BEC" w:rsidRDefault="00490BEC" w:rsidP="00490BEC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082080D9" wp14:editId="54BD9F2E">
            <wp:extent cx="5142865" cy="8224520"/>
            <wp:effectExtent l="0" t="0" r="63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6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82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ED71E" w14:textId="3E39C531" w:rsidR="00490BEC" w:rsidRDefault="00490BEC" w:rsidP="00490BEC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1FBBB87" wp14:editId="0E250B93">
            <wp:extent cx="5166995" cy="8234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3589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82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1561AD0" wp14:editId="13C8A2FE">
            <wp:extent cx="5176520" cy="823468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3589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82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F7E9B" w14:textId="77777777" w:rsidR="00490BEC" w:rsidRDefault="00490BEC" w:rsidP="00F01191">
      <w:pPr>
        <w:pStyle w:val="Heading2"/>
        <w:rPr>
          <w:rtl/>
        </w:rPr>
      </w:pPr>
      <w:r>
        <w:rPr>
          <w:rFonts w:hint="cs"/>
          <w:rtl/>
        </w:rPr>
        <w:lastRenderedPageBreak/>
        <w:t>ארץ הצבי סימן לב</w:t>
      </w:r>
    </w:p>
    <w:p w14:paraId="7B98B894" w14:textId="77777777" w:rsidR="00490BEC" w:rsidRDefault="00490BEC" w:rsidP="00F01191">
      <w:pPr>
        <w:pStyle w:val="Heading2"/>
        <w:rPr>
          <w:rtl/>
        </w:rPr>
      </w:pPr>
      <w:r>
        <w:rPr>
          <w:rFonts w:hint="cs"/>
          <w:rtl/>
        </w:rPr>
        <w:t xml:space="preserve">בעקבי הצאן סימן ה, עמ' </w:t>
      </w:r>
      <w:proofErr w:type="spellStart"/>
      <w:r>
        <w:rPr>
          <w:rFonts w:hint="cs"/>
          <w:rtl/>
        </w:rPr>
        <w:t>כא</w:t>
      </w:r>
      <w:proofErr w:type="spellEnd"/>
    </w:p>
    <w:p w14:paraId="2CEDEF6B" w14:textId="77777777" w:rsidR="00490BEC" w:rsidRDefault="0086145E" w:rsidP="00F01191">
      <w:pPr>
        <w:pStyle w:val="Heading2"/>
      </w:pPr>
      <w:hyperlink r:id="rId10" w:history="1">
        <w:r w:rsidR="00490BEC">
          <w:rPr>
            <w:rStyle w:val="Hyperlink"/>
            <w:rFonts w:eastAsiaTheme="minorHAnsi"/>
          </w:rPr>
          <w:t>Can Women Be Rabbis?</w:t>
        </w:r>
      </w:hyperlink>
    </w:p>
    <w:p w14:paraId="427A3EBA" w14:textId="01014541" w:rsidR="00490BEC" w:rsidRPr="00F01191" w:rsidRDefault="0086145E" w:rsidP="00F01191">
      <w:pPr>
        <w:pStyle w:val="Heading2"/>
        <w:rPr>
          <w:color w:val="0563C1" w:themeColor="hyperlink"/>
          <w:u w:val="single"/>
        </w:rPr>
      </w:pPr>
      <w:hyperlink r:id="rId11" w:history="1">
        <w:r w:rsidR="00490BEC">
          <w:rPr>
            <w:rStyle w:val="Hyperlink"/>
            <w:rFonts w:eastAsiaTheme="minorHAnsi"/>
          </w:rPr>
          <w:t xml:space="preserve">“Women Rabbis?” – </w:t>
        </w:r>
        <w:proofErr w:type="spellStart"/>
        <w:r w:rsidR="00490BEC">
          <w:rPr>
            <w:rStyle w:val="Hyperlink"/>
            <w:rFonts w:eastAsiaTheme="minorHAnsi"/>
          </w:rPr>
          <w:t>Hakirah</w:t>
        </w:r>
        <w:proofErr w:type="spellEnd"/>
        <w:r w:rsidR="00490BEC">
          <w:rPr>
            <w:rStyle w:val="Hyperlink"/>
            <w:rFonts w:eastAsiaTheme="minorHAnsi"/>
          </w:rPr>
          <w:t xml:space="preserve"> vol. 11, </w:t>
        </w:r>
        <w:proofErr w:type="spellStart"/>
        <w:r w:rsidR="00490BEC">
          <w:rPr>
            <w:rStyle w:val="Hyperlink"/>
            <w:rFonts w:eastAsiaTheme="minorHAnsi"/>
          </w:rPr>
          <w:t>pg</w:t>
        </w:r>
        <w:proofErr w:type="spellEnd"/>
        <w:r w:rsidR="00490BEC">
          <w:rPr>
            <w:rStyle w:val="Hyperlink"/>
            <w:rFonts w:eastAsiaTheme="minorHAnsi"/>
          </w:rPr>
          <w:t xml:space="preserve"> 19</w:t>
        </w:r>
        <w:r w:rsidR="00490BEC">
          <w:rPr>
            <w:rStyle w:val="FootnoteReference"/>
            <w:rFonts w:eastAsiaTheme="minorHAnsi"/>
            <w:color w:val="0563C1" w:themeColor="hyperlink"/>
            <w:u w:val="single"/>
          </w:rPr>
          <w:footnoteReference w:id="1"/>
        </w:r>
      </w:hyperlink>
    </w:p>
    <w:p w14:paraId="2A884EFA" w14:textId="77777777" w:rsidR="00555522" w:rsidRDefault="00555522" w:rsidP="00555522">
      <w:pPr>
        <w:pStyle w:val="Heading1"/>
      </w:pPr>
      <w:bookmarkStart w:id="4" w:name="_Toc521478010"/>
      <w:r>
        <w:rPr>
          <w:rFonts w:hint="cs"/>
          <w:rtl/>
        </w:rPr>
        <w:t xml:space="preserve">בית דין – </w:t>
      </w:r>
      <w:proofErr w:type="spellStart"/>
      <w:r>
        <w:rPr>
          <w:rFonts w:hint="cs"/>
          <w:rtl/>
        </w:rPr>
        <w:t>אשה</w:t>
      </w:r>
      <w:proofErr w:type="spellEnd"/>
      <w:r>
        <w:rPr>
          <w:rFonts w:hint="cs"/>
          <w:rtl/>
        </w:rPr>
        <w:t xml:space="preserve"> פסולה לדון</w:t>
      </w:r>
      <w:bookmarkEnd w:id="4"/>
    </w:p>
    <w:p w14:paraId="4A4A876A" w14:textId="77777777" w:rsidR="00555522" w:rsidRDefault="00555522" w:rsidP="00555522">
      <w:pPr>
        <w:pStyle w:val="Heading2"/>
        <w:rPr>
          <w:rtl/>
        </w:rPr>
      </w:pPr>
      <w:r>
        <w:rPr>
          <w:rFonts w:hint="cs"/>
          <w:rtl/>
        </w:rPr>
        <w:t xml:space="preserve">בבא קמא טו. </w:t>
      </w:r>
      <w:proofErr w:type="spellStart"/>
      <w:r>
        <w:rPr>
          <w:rFonts w:hint="cs"/>
          <w:rtl/>
        </w:rPr>
        <w:t>ותוס</w:t>
      </w:r>
      <w:proofErr w:type="spellEnd"/>
      <w:r>
        <w:rPr>
          <w:rFonts w:hint="cs"/>
          <w:rtl/>
        </w:rPr>
        <w:t xml:space="preserve">' ד"ה אשר תשים לפניהם </w:t>
      </w:r>
      <w:proofErr w:type="spellStart"/>
      <w:r>
        <w:rPr>
          <w:rFonts w:hint="cs"/>
          <w:rtl/>
        </w:rPr>
        <w:t>השוה</w:t>
      </w:r>
      <w:proofErr w:type="spellEnd"/>
      <w:r>
        <w:rPr>
          <w:rFonts w:hint="cs"/>
          <w:rtl/>
        </w:rPr>
        <w:t xml:space="preserve"> הכתוב </w:t>
      </w:r>
      <w:proofErr w:type="spellStart"/>
      <w:r>
        <w:rPr>
          <w:rFonts w:hint="cs"/>
          <w:rtl/>
        </w:rPr>
        <w:t>אשה</w:t>
      </w:r>
      <w:proofErr w:type="spellEnd"/>
      <w:r>
        <w:rPr>
          <w:rFonts w:hint="cs"/>
          <w:rtl/>
        </w:rPr>
        <w:t xml:space="preserve"> לאיש</w:t>
      </w:r>
    </w:p>
    <w:p w14:paraId="2839C8FF" w14:textId="77777777" w:rsidR="00555522" w:rsidRDefault="00555522" w:rsidP="00555522">
      <w:pPr>
        <w:pStyle w:val="Heading2"/>
        <w:rPr>
          <w:rtl/>
        </w:rPr>
      </w:pPr>
      <w:r>
        <w:rPr>
          <w:rFonts w:hint="cs"/>
          <w:rtl/>
        </w:rPr>
        <w:t>נדה מט.</w:t>
      </w:r>
    </w:p>
    <w:p w14:paraId="4BE0B029" w14:textId="77777777" w:rsidR="00555522" w:rsidRDefault="00555522" w:rsidP="00555522">
      <w:pPr>
        <w:pStyle w:val="Heading2"/>
      </w:pPr>
      <w:r>
        <w:rPr>
          <w:rFonts w:hint="cs"/>
          <w:rtl/>
        </w:rPr>
        <w:t>גינת אגוז סי' לח אות ד</w:t>
      </w:r>
    </w:p>
    <w:p w14:paraId="4B07730C" w14:textId="77777777" w:rsidR="000C25FD" w:rsidRPr="00555522" w:rsidRDefault="000C25FD" w:rsidP="00C815AF"/>
    <w:sectPr w:rsidR="000C25FD" w:rsidRPr="00555522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01F31F" w14:textId="77777777" w:rsidR="007B4151" w:rsidRDefault="007B4151" w:rsidP="009F4441">
      <w:pPr>
        <w:spacing w:after="0" w:line="240" w:lineRule="auto"/>
      </w:pPr>
      <w:r>
        <w:separator/>
      </w:r>
    </w:p>
  </w:endnote>
  <w:endnote w:type="continuationSeparator" w:id="0">
    <w:p w14:paraId="2F7696A2" w14:textId="77777777" w:rsidR="007B4151" w:rsidRDefault="007B4151" w:rsidP="009F4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99216" w14:textId="77777777" w:rsidR="00C47AA7" w:rsidRDefault="00C47AA7">
    <w:pPr>
      <w:pStyle w:val="Footer"/>
    </w:pPr>
    <w:r>
      <w:rPr>
        <w:rFonts w:hint="cs"/>
        <w:rtl/>
      </w:rPr>
      <w:t>הוכן על ידי התלמידים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9D1145" w14:textId="77777777" w:rsidR="007B4151" w:rsidRDefault="007B4151" w:rsidP="009F4441">
      <w:pPr>
        <w:spacing w:after="0" w:line="240" w:lineRule="auto"/>
      </w:pPr>
      <w:r>
        <w:separator/>
      </w:r>
    </w:p>
  </w:footnote>
  <w:footnote w:type="continuationSeparator" w:id="0">
    <w:p w14:paraId="1AF1F219" w14:textId="77777777" w:rsidR="007B4151" w:rsidRDefault="007B4151" w:rsidP="009F4441">
      <w:pPr>
        <w:spacing w:after="0" w:line="240" w:lineRule="auto"/>
      </w:pPr>
      <w:r>
        <w:continuationSeparator/>
      </w:r>
    </w:p>
  </w:footnote>
  <w:footnote w:id="1">
    <w:p w14:paraId="7A62933E" w14:textId="77777777" w:rsidR="00490BEC" w:rsidRDefault="00490BEC" w:rsidP="00490BEC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ראה </w:t>
      </w:r>
      <w:hyperlink r:id="rId1" w:history="1">
        <w:r>
          <w:rPr>
            <w:rStyle w:val="Hyperlink"/>
            <w:rFonts w:hint="cs"/>
            <w:rtl/>
          </w:rPr>
          <w:t>מאמר הרב אריה פרימר</w:t>
        </w:r>
      </w:hyperlink>
      <w:r>
        <w:rPr>
          <w:rtl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E80D2" w14:textId="5AB98ACC" w:rsidR="00E019E9" w:rsidRDefault="009F4441" w:rsidP="000D7D13">
    <w:pPr>
      <w:spacing w:after="0" w:line="240" w:lineRule="auto"/>
      <w:jc w:val="center"/>
      <w:rPr>
        <w:rtl/>
      </w:rPr>
    </w:pPr>
    <w:r w:rsidRPr="00C52284">
      <w:rPr>
        <w:rtl/>
      </w:rPr>
      <w:t>הרב צבי שכטר</w:t>
    </w:r>
    <w:r w:rsidR="00E019E9">
      <w:tab/>
    </w:r>
    <w:r w:rsidR="000D7D13">
      <w:rPr>
        <w:rtl/>
      </w:rPr>
      <w:tab/>
    </w:r>
    <w:r w:rsidR="000D7D13">
      <w:rPr>
        <w:rtl/>
      </w:rPr>
      <w:tab/>
    </w:r>
    <w:r w:rsidR="000D7D13">
      <w:rPr>
        <w:rtl/>
      </w:rPr>
      <w:tab/>
    </w:r>
    <w:r w:rsidR="00E019E9">
      <w:tab/>
    </w:r>
    <w:r w:rsidRPr="00C52284">
      <w:rPr>
        <w:rtl/>
      </w:rPr>
      <w:tab/>
    </w:r>
    <w:r w:rsidRPr="00C52284">
      <w:tab/>
    </w:r>
    <w:r w:rsidRPr="00C52284">
      <w:rPr>
        <w:rtl/>
      </w:rPr>
      <w:tab/>
    </w:r>
    <w:r>
      <w:rPr>
        <w:rtl/>
      </w:rPr>
      <w:tab/>
    </w:r>
    <w:r w:rsidR="00265985">
      <w:rPr>
        <w:rFonts w:hint="cs"/>
        <w:rtl/>
      </w:rPr>
      <w:t xml:space="preserve">   </w:t>
    </w:r>
    <w:r w:rsidRPr="00C52284">
      <w:rPr>
        <w:rtl/>
      </w:rPr>
      <w:t xml:space="preserve"> </w:t>
    </w:r>
    <w:r>
      <w:rPr>
        <w:rFonts w:hint="cs"/>
        <w:rtl/>
      </w:rPr>
      <w:t xml:space="preserve">מסכת </w:t>
    </w:r>
    <w:r w:rsidR="00265985">
      <w:rPr>
        <w:rFonts w:hint="cs"/>
        <w:rtl/>
      </w:rPr>
      <w:t>בבא קמא יד:-טו.</w:t>
    </w:r>
  </w:p>
  <w:p w14:paraId="22A0B941" w14:textId="1FDD2D04" w:rsidR="00E019E9" w:rsidRPr="009F4441" w:rsidRDefault="00265985" w:rsidP="000D7D13">
    <w:pPr>
      <w:spacing w:after="0" w:line="240" w:lineRule="auto"/>
    </w:pPr>
    <w:r w:rsidRPr="00265985">
      <w:rPr>
        <w:rtl/>
      </w:rPr>
      <w:t>‏‏‏כ"ו כסלו תשע"ט</w:t>
    </w:r>
    <w:r w:rsidRPr="00265985">
      <w:rPr>
        <w:rtl/>
      </w:rPr>
      <w:tab/>
    </w:r>
    <w:r w:rsidR="000D7D13">
      <w:rPr>
        <w:rtl/>
      </w:rPr>
      <w:tab/>
    </w:r>
    <w:r w:rsidR="00E019E9">
      <w:rPr>
        <w:rtl/>
      </w:rPr>
      <w:tab/>
    </w:r>
    <w:r w:rsidR="00E019E9">
      <w:rPr>
        <w:rtl/>
      </w:rPr>
      <w:tab/>
    </w:r>
    <w:r w:rsidR="00E019E9">
      <w:rPr>
        <w:rtl/>
      </w:rPr>
      <w:tab/>
    </w:r>
    <w:r w:rsidR="00E019E9">
      <w:rPr>
        <w:rtl/>
      </w:rPr>
      <w:tab/>
    </w:r>
    <w:r w:rsidR="00E019E9">
      <w:rPr>
        <w:rtl/>
      </w:rPr>
      <w:tab/>
    </w:r>
    <w:r w:rsidR="00E019E9">
      <w:rPr>
        <w:rtl/>
      </w:rPr>
      <w:tab/>
    </w:r>
    <w:r w:rsidR="00E019E9">
      <w:rPr>
        <w:rtl/>
      </w:rPr>
      <w:tab/>
    </w:r>
    <w:r w:rsidR="00E019E9">
      <w:rPr>
        <w:rtl/>
      </w:rPr>
      <w:tab/>
    </w:r>
    <w:r>
      <w:rPr>
        <w:rFonts w:hint="cs"/>
        <w:rtl/>
      </w:rPr>
      <w:t xml:space="preserve">        </w:t>
    </w:r>
    <w:r w:rsidR="00E019E9" w:rsidRPr="00C52284">
      <w:rPr>
        <w:rtl/>
      </w:rPr>
      <w:t xml:space="preserve">שיעור </w:t>
    </w:r>
    <w:r>
      <w:rPr>
        <w:rFonts w:hint="cs"/>
        <w:rtl/>
      </w:rPr>
      <w:t>מ"א</w:t>
    </w:r>
    <w:r w:rsidR="00E019E9">
      <w:rPr>
        <w:rtl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151"/>
    <w:rsid w:val="000C25FD"/>
    <w:rsid w:val="000D7D13"/>
    <w:rsid w:val="001A3E2F"/>
    <w:rsid w:val="001E4950"/>
    <w:rsid w:val="00265985"/>
    <w:rsid w:val="002D7162"/>
    <w:rsid w:val="00381D0E"/>
    <w:rsid w:val="00490BEC"/>
    <w:rsid w:val="00555522"/>
    <w:rsid w:val="0068708B"/>
    <w:rsid w:val="00771609"/>
    <w:rsid w:val="007B4151"/>
    <w:rsid w:val="0086145E"/>
    <w:rsid w:val="009F4441"/>
    <w:rsid w:val="00C47AA7"/>
    <w:rsid w:val="00C815AF"/>
    <w:rsid w:val="00D501EB"/>
    <w:rsid w:val="00E019E9"/>
    <w:rsid w:val="00F01191"/>
    <w:rsid w:val="00FC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E2A57"/>
  <w15:chartTrackingRefBased/>
  <w15:docId w15:val="{B3C5820D-C37E-4CDC-AC65-72BE666EB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4441"/>
    <w:pPr>
      <w:bidi/>
    </w:pPr>
    <w:rPr>
      <w:rFonts w:ascii="Narkisim" w:hAnsi="Narkisim" w:cs="Narkisim"/>
    </w:rPr>
  </w:style>
  <w:style w:type="paragraph" w:styleId="Heading1">
    <w:name w:val="heading 1"/>
    <w:basedOn w:val="Heading3"/>
    <w:next w:val="Normal"/>
    <w:link w:val="Heading1Char"/>
    <w:uiPriority w:val="9"/>
    <w:qFormat/>
    <w:rsid w:val="009F4441"/>
    <w:pPr>
      <w:spacing w:after="240"/>
      <w:outlineLvl w:val="0"/>
    </w:pPr>
    <w:rPr>
      <w:rFonts w:ascii="Narkisim" w:eastAsia="Calibri" w:hAnsi="Narkisim" w:cs="Narkisim"/>
      <w:b/>
      <w:bCs/>
      <w:color w:val="auto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441"/>
    <w:pPr>
      <w:outlineLvl w:val="1"/>
    </w:pPr>
    <w:rPr>
      <w:rFonts w:eastAsia="Calibri"/>
      <w:color w:val="0000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44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55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4441"/>
    <w:rPr>
      <w:rFonts w:ascii="Narkisim" w:eastAsia="Calibri" w:hAnsi="Narkisim" w:cs="Narkisim"/>
      <w:b/>
      <w:bCs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F4441"/>
    <w:rPr>
      <w:rFonts w:ascii="Narkisim" w:eastAsia="Calibri" w:hAnsi="Narkisim" w:cs="Narkisim"/>
      <w:color w:val="000080"/>
      <w:sz w:val="28"/>
      <w:szCs w:val="28"/>
    </w:rPr>
  </w:style>
  <w:style w:type="paragraph" w:styleId="Title">
    <w:name w:val="Title"/>
    <w:basedOn w:val="Heading1"/>
    <w:next w:val="Normal"/>
    <w:link w:val="TitleChar"/>
    <w:uiPriority w:val="10"/>
    <w:qFormat/>
    <w:rsid w:val="009F4441"/>
    <w:pPr>
      <w:bidi w:val="0"/>
      <w:jc w:val="center"/>
    </w:pPr>
    <w:rPr>
      <w:b w:val="0"/>
      <w:bCs w:val="0"/>
      <w:sz w:val="48"/>
      <w:szCs w:val="48"/>
      <w:u w:val="none"/>
      <w:shd w:val="clear" w:color="auto" w:fill="FFFFFF"/>
    </w:rPr>
  </w:style>
  <w:style w:type="character" w:customStyle="1" w:styleId="TitleChar">
    <w:name w:val="Title Char"/>
    <w:basedOn w:val="DefaultParagraphFont"/>
    <w:link w:val="Title"/>
    <w:uiPriority w:val="10"/>
    <w:rsid w:val="009F4441"/>
    <w:rPr>
      <w:rFonts w:ascii="Narkisim" w:eastAsia="Calibri" w:hAnsi="Narkisim" w:cs="Narkisim"/>
      <w:sz w:val="48"/>
      <w:szCs w:val="48"/>
    </w:rPr>
  </w:style>
  <w:style w:type="paragraph" w:styleId="Subtitle">
    <w:name w:val="Subtitle"/>
    <w:basedOn w:val="Title"/>
    <w:next w:val="Normal"/>
    <w:link w:val="SubtitleChar"/>
    <w:uiPriority w:val="11"/>
    <w:qFormat/>
    <w:rsid w:val="009F4441"/>
    <w:pPr>
      <w:bidi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F4441"/>
    <w:rPr>
      <w:rFonts w:ascii="Narkisim" w:eastAsia="Calibri" w:hAnsi="Narkisim" w:cs="Narkisim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44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44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441"/>
    <w:rPr>
      <w:rFonts w:ascii="Narkisim" w:hAnsi="Narkisim" w:cs="Narkisim"/>
    </w:rPr>
  </w:style>
  <w:style w:type="paragraph" w:styleId="Footer">
    <w:name w:val="footer"/>
    <w:basedOn w:val="Normal"/>
    <w:link w:val="FooterChar"/>
    <w:uiPriority w:val="99"/>
    <w:unhideWhenUsed/>
    <w:rsid w:val="009F44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441"/>
    <w:rPr>
      <w:rFonts w:ascii="Narkisim" w:hAnsi="Narkisim" w:cs="Narkisim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552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490BEC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0BE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0BEC"/>
    <w:rPr>
      <w:rFonts w:ascii="Narkisim" w:hAnsi="Narkisim" w:cs="Narkisim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90B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0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tzar.org/wotzar/book.aspx?143614&amp;pageid=P0027" TargetMode="External"/><Relationship Id="rId11" Type="http://schemas.openxmlformats.org/officeDocument/2006/relationships/hyperlink" Target="http://www.hakirah.org/Vol%2011%20Schachter.pdf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torahweb.org/torah/2004/parsha/rsch_dvorim2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text.rcarabbis.org/women-in-communal-leadership-positions-shul-presidents-by-aryeh-frimer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de\AppData\Roaming\Microsoft\Templates\Shi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Shiur.dotx</Template>
  <TotalTime>45</TotalTime>
  <Pages>6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Mordechai Djavaheri</dc:creator>
  <cp:keywords/>
  <dc:description/>
  <cp:lastModifiedBy>Mordechai Djavaheri</cp:lastModifiedBy>
  <cp:revision>12</cp:revision>
  <dcterms:created xsi:type="dcterms:W3CDTF">2018-12-03T18:35:00Z</dcterms:created>
  <dcterms:modified xsi:type="dcterms:W3CDTF">2018-12-06T04:16:00Z</dcterms:modified>
</cp:coreProperties>
</file>