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E42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65072CB" w14:textId="77777777" w:rsidR="009F4441" w:rsidRDefault="00776087" w:rsidP="009F4441">
      <w:pPr>
        <w:pStyle w:val="Subtitle"/>
        <w:rPr>
          <w:rtl/>
        </w:rPr>
      </w:pPr>
      <w:r>
        <w:rPr>
          <w:rFonts w:hint="cs"/>
          <w:rtl/>
        </w:rPr>
        <w:t>פרשת וישב</w:t>
      </w:r>
    </w:p>
    <w:p w14:paraId="6750C769" w14:textId="0FACB483" w:rsidR="009F4441" w:rsidRDefault="00221869" w:rsidP="009F4441">
      <w:pPr>
        <w:pStyle w:val="Heading1"/>
        <w:rPr>
          <w:rFonts w:hint="cs"/>
        </w:rPr>
      </w:pPr>
      <w:r>
        <w:rPr>
          <w:rFonts w:hint="cs"/>
          <w:rtl/>
        </w:rPr>
        <w:t xml:space="preserve">זכות </w:t>
      </w:r>
      <w:r w:rsidR="00FF1B0F">
        <w:rPr>
          <w:rFonts w:hint="cs"/>
          <w:rtl/>
        </w:rPr>
        <w:t xml:space="preserve">קריאת שם </w:t>
      </w:r>
      <w:r>
        <w:rPr>
          <w:rFonts w:hint="cs"/>
          <w:rtl/>
        </w:rPr>
        <w:t>ה</w:t>
      </w:r>
      <w:r w:rsidR="00FF1B0F">
        <w:rPr>
          <w:rFonts w:hint="cs"/>
          <w:rtl/>
        </w:rPr>
        <w:t>תינוק</w:t>
      </w:r>
    </w:p>
    <w:p w14:paraId="2DBB37E0" w14:textId="025B5270" w:rsidR="00E0035A" w:rsidRDefault="00E0035A" w:rsidP="001C1E07">
      <w:pPr>
        <w:pStyle w:val="Heading2"/>
        <w:rPr>
          <w:rtl/>
        </w:rPr>
      </w:pPr>
      <w:r>
        <w:rPr>
          <w:rFonts w:hint="cs"/>
          <w:rtl/>
        </w:rPr>
        <w:t xml:space="preserve">דעת זקנים מבעלי התוספות בראשית </w:t>
      </w:r>
      <w:proofErr w:type="spellStart"/>
      <w:r>
        <w:rPr>
          <w:rFonts w:hint="cs"/>
          <w:rtl/>
        </w:rPr>
        <w:t>לח:ה</w:t>
      </w:r>
      <w:proofErr w:type="spellEnd"/>
    </w:p>
    <w:p w14:paraId="04763FCC" w14:textId="3C4F8AC0" w:rsidR="00E0035A" w:rsidRPr="00E0035A" w:rsidRDefault="00E0035A" w:rsidP="00E0035A">
      <w:pPr>
        <w:rPr>
          <w:rtl/>
        </w:rPr>
      </w:pPr>
      <w:r w:rsidRPr="00E0035A">
        <w:rPr>
          <w:rtl/>
        </w:rPr>
        <w:t xml:space="preserve">ותקרא את שמו שלה והיה בכזיב וגו'. פי' על כן קראה שמו שלה על שפסקה מלדת כי לשון שלה ולשון כזיב אחד שהרי כתוב אחד אומר אל תכזב בשפחתך וכתוב אחר אל תשלה בי וכזיב לשון הפסקה הוא כמו וכמוצא מים אשר לא יכזבו מימיו. ומפי מורי ז"ל שמעתי כי כך היה מנהגם הוא היה קורא שם לבנו ראשון והיא קוראה שם לבנו שני. וא"כ מן הדין היה לו ליהודה לקרוא שם לשלישי. והיא קראה לו שם </w:t>
      </w:r>
      <w:proofErr w:type="spellStart"/>
      <w:r w:rsidRPr="00E0035A">
        <w:rPr>
          <w:rtl/>
        </w:rPr>
        <w:t>כדכתיב</w:t>
      </w:r>
      <w:proofErr w:type="spellEnd"/>
      <w:r w:rsidRPr="00E0035A">
        <w:rPr>
          <w:rtl/>
        </w:rPr>
        <w:t xml:space="preserve"> ותקרא לכך הוצרך לומר שהיה יהודה בכזיב בלדת אותו ולא היה באותו מעמד לקרוא לו שם וכזיב שם מקום:</w:t>
      </w:r>
    </w:p>
    <w:p w14:paraId="7031B0E0" w14:textId="2E91E2EC" w:rsidR="009F4441" w:rsidRPr="00237B08" w:rsidRDefault="001C1E07" w:rsidP="001C1E07">
      <w:pPr>
        <w:pStyle w:val="Heading2"/>
      </w:pPr>
      <w:r>
        <w:rPr>
          <w:rFonts w:hint="cs"/>
          <w:rtl/>
        </w:rPr>
        <w:t xml:space="preserve">נפש הרב עמ' </w:t>
      </w:r>
      <w:proofErr w:type="spellStart"/>
      <w:r>
        <w:rPr>
          <w:rFonts w:hint="cs"/>
          <w:rtl/>
        </w:rPr>
        <w:t>רמד</w:t>
      </w:r>
      <w:proofErr w:type="spellEnd"/>
    </w:p>
    <w:p w14:paraId="3D5B7A03" w14:textId="4BE1E430" w:rsidR="000C25FD" w:rsidRDefault="00DA37B2" w:rsidP="00DA37B2">
      <w:pPr>
        <w:pStyle w:val="Heading1"/>
        <w:rPr>
          <w:rtl/>
        </w:rPr>
      </w:pPr>
      <w:r>
        <w:rPr>
          <w:rFonts w:hint="cs"/>
          <w:rtl/>
        </w:rPr>
        <w:t>איה הקדשה אשר בדרך</w:t>
      </w:r>
    </w:p>
    <w:p w14:paraId="33FBEAD1" w14:textId="11D37202" w:rsidR="00153920" w:rsidRPr="00153920" w:rsidRDefault="00153920" w:rsidP="00153920">
      <w:pPr>
        <w:pStyle w:val="Heading2"/>
        <w:rPr>
          <w:rtl/>
        </w:rPr>
      </w:pPr>
      <w:r w:rsidRPr="00153920">
        <w:rPr>
          <w:rtl/>
        </w:rPr>
        <w:t>דרך פקודיך מצות לא תעשה לה חלק הדיבור</w:t>
      </w:r>
    </w:p>
    <w:p w14:paraId="696EF3A3" w14:textId="40588A5A" w:rsidR="00DA37B2" w:rsidRDefault="00DA37B2" w:rsidP="00DA37B2">
      <w:r w:rsidRPr="00DA37B2">
        <w:rPr>
          <w:rtl/>
        </w:rPr>
        <w:t xml:space="preserve">ומדי דברי בזה זכור אזכרנו לטובה מה שסיפר לי החסיד הקדוש הרב המפורסם בקדושה כבוד </w:t>
      </w:r>
      <w:proofErr w:type="spellStart"/>
      <w:r w:rsidRPr="00DA37B2">
        <w:rPr>
          <w:rtl/>
        </w:rPr>
        <w:t>מהר"ם</w:t>
      </w:r>
      <w:proofErr w:type="spellEnd"/>
      <w:r w:rsidRPr="00DA37B2">
        <w:rPr>
          <w:rtl/>
        </w:rPr>
        <w:t xml:space="preserve"> </w:t>
      </w:r>
      <w:proofErr w:type="spellStart"/>
      <w:r w:rsidRPr="00DA37B2">
        <w:rPr>
          <w:rtl/>
        </w:rPr>
        <w:t>זצל"ה</w:t>
      </w:r>
      <w:proofErr w:type="spellEnd"/>
      <w:r w:rsidRPr="00DA37B2">
        <w:rPr>
          <w:rtl/>
        </w:rPr>
        <w:t xml:space="preserve"> סופר סת"ם </w:t>
      </w:r>
      <w:proofErr w:type="spellStart"/>
      <w:r w:rsidRPr="00DA37B2">
        <w:rPr>
          <w:rtl/>
        </w:rPr>
        <w:t>מפשעווארסקי</w:t>
      </w:r>
      <w:proofErr w:type="spellEnd"/>
      <w:r w:rsidRPr="00DA37B2">
        <w:rPr>
          <w:rtl/>
        </w:rPr>
        <w:t xml:space="preserve">, במעשה שאירע לו בהיותו בדרך </w:t>
      </w:r>
      <w:proofErr w:type="spellStart"/>
      <w:r w:rsidRPr="00DA37B2">
        <w:rPr>
          <w:rtl/>
        </w:rPr>
        <w:t>נחהו</w:t>
      </w:r>
      <w:proofErr w:type="spellEnd"/>
      <w:r w:rsidRPr="00DA37B2">
        <w:rPr>
          <w:rtl/>
        </w:rPr>
        <w:t xml:space="preserve"> ד', ובבואו למלון התאספו אליו רבים מאותן אשר קרבת </w:t>
      </w:r>
      <w:proofErr w:type="spellStart"/>
      <w:r w:rsidRPr="00DA37B2">
        <w:rPr>
          <w:rtl/>
        </w:rPr>
        <w:t>אלקים</w:t>
      </w:r>
      <w:proofErr w:type="spellEnd"/>
      <w:r w:rsidRPr="00DA37B2">
        <w:rPr>
          <w:rtl/>
        </w:rPr>
        <w:t xml:space="preserve"> </w:t>
      </w:r>
      <w:proofErr w:type="spellStart"/>
      <w:r w:rsidRPr="00DA37B2">
        <w:rPr>
          <w:rtl/>
        </w:rPr>
        <w:t>יחפצון</w:t>
      </w:r>
      <w:proofErr w:type="spellEnd"/>
      <w:r w:rsidRPr="00DA37B2">
        <w:rPr>
          <w:rtl/>
        </w:rPr>
        <w:t xml:space="preserve">, ואירע שנסע דרך העיר הזאת אחד מנגידי ק"ק בראד ובא אליו בתוך המקהלות ואמר לו שאלה אחת אני שואל מאתכם אם תשיבני על נכון מה טוב ובאם לאו הרי אתם כולכם מכת הרמאים, והוסיף לדבר עתק אין מן הצורך להאריך, ותוכן השאלה הוא אמר לו </w:t>
      </w:r>
      <w:proofErr w:type="spellStart"/>
      <w:r w:rsidRPr="00DA37B2">
        <w:rPr>
          <w:rtl/>
        </w:rPr>
        <w:t>בזה"ל</w:t>
      </w:r>
      <w:proofErr w:type="spellEnd"/>
      <w:r w:rsidRPr="00DA37B2">
        <w:rPr>
          <w:rtl/>
        </w:rPr>
        <w:t xml:space="preserve">, היות ששבת </w:t>
      </w:r>
      <w:proofErr w:type="spellStart"/>
      <w:r w:rsidRPr="00DA37B2">
        <w:rPr>
          <w:rtl/>
        </w:rPr>
        <w:t>בקהלתנו</w:t>
      </w:r>
      <w:proofErr w:type="spellEnd"/>
      <w:r w:rsidRPr="00DA37B2">
        <w:rPr>
          <w:rtl/>
        </w:rPr>
        <w:t xml:space="preserve"> הרב הקדוש המפורסם </w:t>
      </w:r>
      <w:proofErr w:type="spellStart"/>
      <w:r w:rsidRPr="00DA37B2">
        <w:rPr>
          <w:rtl/>
        </w:rPr>
        <w:t>מהר"מ</w:t>
      </w:r>
      <w:proofErr w:type="spellEnd"/>
      <w:r w:rsidRPr="00DA37B2">
        <w:rPr>
          <w:rtl/>
        </w:rPr>
        <w:t xml:space="preserve"> הראשון שהיה </w:t>
      </w:r>
      <w:proofErr w:type="spellStart"/>
      <w:r w:rsidRPr="00DA37B2">
        <w:rPr>
          <w:rtl/>
        </w:rPr>
        <w:t>בפשעווארסק</w:t>
      </w:r>
      <w:proofErr w:type="spellEnd"/>
      <w:r w:rsidRPr="00DA37B2">
        <w:rPr>
          <w:rtl/>
        </w:rPr>
        <w:t xml:space="preserve"> זצוק"ל, והתאספו אליו אנשים המתחסדים והרעישו עולם ומלואו כדרכם, ובזמן הסעודה שלישית אזי אמרתי </w:t>
      </w:r>
      <w:proofErr w:type="spellStart"/>
      <w:r w:rsidRPr="00DA37B2">
        <w:rPr>
          <w:rtl/>
        </w:rPr>
        <w:t>אלכה</w:t>
      </w:r>
      <w:proofErr w:type="spellEnd"/>
      <w:r w:rsidRPr="00DA37B2">
        <w:rPr>
          <w:rtl/>
        </w:rPr>
        <w:t xml:space="preserve"> נא אל כת </w:t>
      </w:r>
      <w:proofErr w:type="spellStart"/>
      <w:r w:rsidRPr="00DA37B2">
        <w:rPr>
          <w:rtl/>
        </w:rPr>
        <w:t>המשתגעי</w:t>
      </w:r>
      <w:proofErr w:type="spellEnd"/>
      <w:r w:rsidRPr="00DA37B2">
        <w:rPr>
          <w:rtl/>
        </w:rPr>
        <w:t xml:space="preserve">' עם רבם המובהק להם ואראה להם בפחזותם מה מנהגם, והנה בבואי אל המקום הנועד אשר שם היה הקיבוץ אזי אמר הרב המובהק הנ"ל הנה נואף בא אל הבית, ואני ידעתי בעצמי שלא הייתי נואף מעולם, והאריך לדבר עתק ודברי חוצפה בזה. והנה אמר לי הרב הקדוש הנ"ל המספר לי המאורע שהתפלל אז אל </w:t>
      </w:r>
      <w:proofErr w:type="spellStart"/>
      <w:r w:rsidRPr="00DA37B2">
        <w:rPr>
          <w:rtl/>
        </w:rPr>
        <w:t>הש"י</w:t>
      </w:r>
      <w:proofErr w:type="spellEnd"/>
      <w:r w:rsidRPr="00DA37B2">
        <w:rPr>
          <w:rtl/>
        </w:rPr>
        <w:t xml:space="preserve"> יראהו נפלאות לתרץ לו תירוץ גמור לפי דרכו, </w:t>
      </w:r>
      <w:proofErr w:type="spellStart"/>
      <w:r w:rsidRPr="00DA37B2">
        <w:rPr>
          <w:rtl/>
        </w:rPr>
        <w:t>והיתה</w:t>
      </w:r>
      <w:proofErr w:type="spellEnd"/>
      <w:r w:rsidRPr="00DA37B2">
        <w:rPr>
          <w:rtl/>
        </w:rPr>
        <w:t xml:space="preserve"> מונחת גמרא על השולחן וביקש </w:t>
      </w:r>
      <w:proofErr w:type="spellStart"/>
      <w:r w:rsidRPr="00DA37B2">
        <w:rPr>
          <w:rtl/>
        </w:rPr>
        <w:t>מהש"י</w:t>
      </w:r>
      <w:proofErr w:type="spellEnd"/>
      <w:r w:rsidRPr="00DA37B2">
        <w:rPr>
          <w:rtl/>
        </w:rPr>
        <w:t xml:space="preserve"> שיראהו התירוץ הנכון בתוך דברי חז"ל, ופתח הגמרא והנה המאמר חז"ל [יומא עד ב] מאי קרא טוב מראה </w:t>
      </w:r>
      <w:proofErr w:type="spellStart"/>
      <w:r w:rsidRPr="00DA37B2">
        <w:rPr>
          <w:rtl/>
        </w:rPr>
        <w:t>עינים</w:t>
      </w:r>
      <w:proofErr w:type="spellEnd"/>
      <w:r w:rsidRPr="00DA37B2">
        <w:rPr>
          <w:rtl/>
        </w:rPr>
        <w:t xml:space="preserve"> מהלך נפש כתובה לפניו, אז שמח לב הצדיק בקרבו והראה להנגיד הנ"ל ואמר לו הנך רואה דברי חז"ל </w:t>
      </w:r>
      <w:proofErr w:type="spellStart"/>
      <w:r w:rsidRPr="00DA37B2">
        <w:rPr>
          <w:rtl/>
        </w:rPr>
        <w:t>נזדמנו</w:t>
      </w:r>
      <w:proofErr w:type="spellEnd"/>
      <w:r w:rsidRPr="00DA37B2">
        <w:rPr>
          <w:rtl/>
        </w:rPr>
        <w:t xml:space="preserve"> לי בעת הצורך לתרץ לך, כי בהיותך הולך מבלי דעת </w:t>
      </w:r>
      <w:proofErr w:type="spellStart"/>
      <w:r w:rsidRPr="00DA37B2">
        <w:rPr>
          <w:rtl/>
        </w:rPr>
        <w:t>וחוצפך</w:t>
      </w:r>
      <w:proofErr w:type="spellEnd"/>
      <w:r w:rsidRPr="00DA37B2">
        <w:rPr>
          <w:rtl/>
        </w:rPr>
        <w:t xml:space="preserve"> </w:t>
      </w:r>
      <w:proofErr w:type="spellStart"/>
      <w:r w:rsidRPr="00DA37B2">
        <w:rPr>
          <w:rtl/>
        </w:rPr>
        <w:t>יסגא</w:t>
      </w:r>
      <w:proofErr w:type="spellEnd"/>
      <w:r w:rsidRPr="00DA37B2">
        <w:rPr>
          <w:rtl/>
        </w:rPr>
        <w:t xml:space="preserve"> להיותך בוזה במלאכי ד', והיית הולך בתוך השוק בעיר הגדולה הנ"ל והיית משוטט בעיניך במקהלות הנשים היושבים אנה ואנה ביום המנוחה, והיית נהנה במראה עיניך ובאת מתוך הראיה הלזו לבית מקום הצדיק, וראה ברוח קדשו קליפת הניאוף אצלך, כי טוב מראה </w:t>
      </w:r>
      <w:proofErr w:type="spellStart"/>
      <w:r w:rsidRPr="00DA37B2">
        <w:rPr>
          <w:rtl/>
        </w:rPr>
        <w:t>עינים</w:t>
      </w:r>
      <w:proofErr w:type="spellEnd"/>
      <w:r w:rsidRPr="00DA37B2">
        <w:rPr>
          <w:rtl/>
        </w:rPr>
        <w:t xml:space="preserve"> </w:t>
      </w:r>
      <w:proofErr w:type="spellStart"/>
      <w:r w:rsidRPr="00DA37B2">
        <w:rPr>
          <w:rtl/>
        </w:rPr>
        <w:t>וכו</w:t>
      </w:r>
      <w:proofErr w:type="spellEnd"/>
      <w:r w:rsidRPr="00DA37B2">
        <w:rPr>
          <w:rtl/>
        </w:rPr>
        <w:t xml:space="preserve">'. ואמר לי שסיפר לו סמוכות לדברינו בתוה"ק [בראשית לח </w:t>
      </w:r>
      <w:proofErr w:type="spellStart"/>
      <w:r w:rsidRPr="00DA37B2">
        <w:rPr>
          <w:rtl/>
        </w:rPr>
        <w:t>כא</w:t>
      </w:r>
      <w:proofErr w:type="spellEnd"/>
      <w:r w:rsidRPr="00DA37B2">
        <w:rPr>
          <w:rtl/>
        </w:rPr>
        <w:t xml:space="preserve">] וישאל את אנשי מקומה (היינו אנשי </w:t>
      </w:r>
      <w:proofErr w:type="spellStart"/>
      <w:r w:rsidRPr="00DA37B2">
        <w:rPr>
          <w:rtl/>
        </w:rPr>
        <w:t>המקו"ם</w:t>
      </w:r>
      <w:proofErr w:type="spellEnd"/>
      <w:r w:rsidRPr="00DA37B2">
        <w:rPr>
          <w:rtl/>
        </w:rPr>
        <w:t xml:space="preserve"> </w:t>
      </w:r>
      <w:proofErr w:type="spellStart"/>
      <w:r w:rsidRPr="00DA37B2">
        <w:rPr>
          <w:rtl/>
        </w:rPr>
        <w:t>ית"ש</w:t>
      </w:r>
      <w:proofErr w:type="spellEnd"/>
      <w:r w:rsidRPr="00DA37B2">
        <w:rPr>
          <w:rtl/>
        </w:rPr>
        <w:t>), איה הקדשה (</w:t>
      </w:r>
      <w:proofErr w:type="spellStart"/>
      <w:r w:rsidRPr="00DA37B2">
        <w:rPr>
          <w:rtl/>
        </w:rPr>
        <w:t>רצ"ל</w:t>
      </w:r>
      <w:proofErr w:type="spellEnd"/>
      <w:r w:rsidRPr="00DA37B2">
        <w:rPr>
          <w:rtl/>
        </w:rPr>
        <w:t xml:space="preserve"> היכן היא </w:t>
      </w:r>
      <w:proofErr w:type="spellStart"/>
      <w:r w:rsidRPr="00DA37B2">
        <w:rPr>
          <w:rtl/>
        </w:rPr>
        <w:t>הזונ</w:t>
      </w:r>
      <w:proofErr w:type="spellEnd"/>
      <w:r w:rsidRPr="00DA37B2">
        <w:rPr>
          <w:rtl/>
        </w:rPr>
        <w:t xml:space="preserve">' שאתה אומר שזניתי ואני ידעתי בעצמי שלא זניתי מעולם, התירוץ הוא) היא </w:t>
      </w:r>
      <w:proofErr w:type="spellStart"/>
      <w:r w:rsidRPr="00DA37B2">
        <w:rPr>
          <w:rtl/>
        </w:rPr>
        <w:t>בעינים</w:t>
      </w:r>
      <w:proofErr w:type="spellEnd"/>
      <w:r w:rsidRPr="00DA37B2">
        <w:rPr>
          <w:rtl/>
        </w:rPr>
        <w:t xml:space="preserve"> על הדרך, </w:t>
      </w:r>
      <w:proofErr w:type="spellStart"/>
      <w:r w:rsidRPr="00DA37B2">
        <w:rPr>
          <w:rtl/>
        </w:rPr>
        <w:t>רצ"ל</w:t>
      </w:r>
      <w:proofErr w:type="spellEnd"/>
      <w:r w:rsidRPr="00DA37B2">
        <w:rPr>
          <w:rtl/>
        </w:rPr>
        <w:t xml:space="preserve"> איכות הזנות הוא ע"י עיניך כשהיית הולך בדרך ונהנית במראה עיניך. והאריך הצדיק בזה </w:t>
      </w:r>
      <w:proofErr w:type="spellStart"/>
      <w:r w:rsidRPr="00DA37B2">
        <w:rPr>
          <w:rtl/>
        </w:rPr>
        <w:t>ובכאן</w:t>
      </w:r>
      <w:proofErr w:type="spellEnd"/>
      <w:r w:rsidRPr="00DA37B2">
        <w:rPr>
          <w:rtl/>
        </w:rPr>
        <w:t xml:space="preserve"> </w:t>
      </w:r>
      <w:proofErr w:type="spellStart"/>
      <w:r w:rsidRPr="00DA37B2">
        <w:rPr>
          <w:rtl/>
        </w:rPr>
        <w:t>הראתיך</w:t>
      </w:r>
      <w:proofErr w:type="spellEnd"/>
      <w:r w:rsidRPr="00DA37B2">
        <w:rPr>
          <w:rtl/>
        </w:rPr>
        <w:t xml:space="preserve"> רק לדוגמא ואתה תשכיל ותבין.</w:t>
      </w:r>
    </w:p>
    <w:p w14:paraId="1FC08726" w14:textId="233B6A76" w:rsidR="0059770D" w:rsidRDefault="0059770D" w:rsidP="0059770D">
      <w:pPr>
        <w:pStyle w:val="Heading1"/>
        <w:rPr>
          <w:rtl/>
        </w:rPr>
      </w:pPr>
      <w:proofErr w:type="spellStart"/>
      <w:r>
        <w:rPr>
          <w:rFonts w:hint="cs"/>
          <w:rtl/>
        </w:rPr>
        <w:t>יהרג</w:t>
      </w:r>
      <w:proofErr w:type="spellEnd"/>
      <w:r>
        <w:rPr>
          <w:rFonts w:hint="cs"/>
          <w:rtl/>
        </w:rPr>
        <w:t xml:space="preserve"> ואל יעבור </w:t>
      </w:r>
      <w:r>
        <w:rPr>
          <w:rtl/>
        </w:rPr>
        <w:t>–</w:t>
      </w:r>
      <w:r>
        <w:rPr>
          <w:rFonts w:hint="cs"/>
          <w:rtl/>
        </w:rPr>
        <w:t xml:space="preserve"> הלבנת פני חברו ברבים</w:t>
      </w:r>
    </w:p>
    <w:p w14:paraId="14A914DE" w14:textId="77777777" w:rsidR="0059770D" w:rsidRDefault="0059770D" w:rsidP="0059770D">
      <w:pPr>
        <w:pStyle w:val="Heading2"/>
        <w:rPr>
          <w:rtl/>
        </w:rPr>
      </w:pPr>
      <w:bookmarkStart w:id="0" w:name="_Toc513999352"/>
      <w:r>
        <w:rPr>
          <w:rFonts w:hint="cs"/>
          <w:rtl/>
        </w:rPr>
        <w:t>סוטה י:</w:t>
      </w:r>
      <w:bookmarkEnd w:id="0"/>
    </w:p>
    <w:p w14:paraId="35924950" w14:textId="77777777" w:rsidR="0059770D" w:rsidRPr="00756B3C" w:rsidRDefault="0059770D" w:rsidP="0059770D">
      <w:pPr>
        <w:rPr>
          <w:rtl/>
        </w:rPr>
      </w:pPr>
      <w:r w:rsidRPr="00756B3C">
        <w:rPr>
          <w:rFonts w:hint="eastAsia"/>
          <w:rtl/>
        </w:rPr>
        <w:t>מר</w:t>
      </w:r>
      <w:r w:rsidRPr="00756B3C">
        <w:rPr>
          <w:rtl/>
        </w:rPr>
        <w:t xml:space="preserve"> </w:t>
      </w:r>
      <w:r w:rsidRPr="00756B3C">
        <w:rPr>
          <w:rFonts w:hint="eastAsia"/>
          <w:rtl/>
        </w:rPr>
        <w:t>רב</w:t>
      </w:r>
      <w:r w:rsidRPr="00756B3C">
        <w:rPr>
          <w:rtl/>
        </w:rPr>
        <w:t xml:space="preserve"> </w:t>
      </w:r>
      <w:proofErr w:type="spellStart"/>
      <w:r w:rsidRPr="00756B3C">
        <w:rPr>
          <w:rFonts w:hint="eastAsia"/>
          <w:rtl/>
        </w:rPr>
        <w:t>זוטרא</w:t>
      </w:r>
      <w:proofErr w:type="spellEnd"/>
      <w:r w:rsidRPr="00756B3C">
        <w:rPr>
          <w:rtl/>
        </w:rPr>
        <w:t xml:space="preserve"> </w:t>
      </w:r>
      <w:r w:rsidRPr="00756B3C">
        <w:rPr>
          <w:rFonts w:hint="eastAsia"/>
          <w:rtl/>
        </w:rPr>
        <w:t>בר</w:t>
      </w:r>
      <w:r w:rsidRPr="00756B3C">
        <w:rPr>
          <w:rtl/>
        </w:rPr>
        <w:t xml:space="preserve"> </w:t>
      </w:r>
      <w:r w:rsidRPr="00756B3C">
        <w:rPr>
          <w:rFonts w:hint="eastAsia"/>
          <w:rtl/>
        </w:rPr>
        <w:t>טוביה</w:t>
      </w:r>
      <w:r w:rsidRPr="00756B3C">
        <w:rPr>
          <w:rtl/>
        </w:rPr>
        <w:t xml:space="preserve"> </w:t>
      </w:r>
      <w:r w:rsidRPr="00756B3C">
        <w:rPr>
          <w:rFonts w:hint="eastAsia"/>
          <w:rtl/>
        </w:rPr>
        <w:t>אמר</w:t>
      </w:r>
      <w:r w:rsidRPr="00756B3C">
        <w:rPr>
          <w:rtl/>
        </w:rPr>
        <w:t xml:space="preserve"> </w:t>
      </w:r>
      <w:r w:rsidRPr="00756B3C">
        <w:rPr>
          <w:rFonts w:hint="eastAsia"/>
          <w:rtl/>
        </w:rPr>
        <w:t>רב</w:t>
      </w:r>
      <w:r w:rsidRPr="00756B3C">
        <w:rPr>
          <w:rtl/>
        </w:rPr>
        <w:t xml:space="preserve">, </w:t>
      </w:r>
      <w:r w:rsidRPr="00756B3C">
        <w:rPr>
          <w:rFonts w:hint="eastAsia"/>
          <w:rtl/>
        </w:rPr>
        <w:t>ואמרי</w:t>
      </w:r>
      <w:r w:rsidRPr="00756B3C">
        <w:rPr>
          <w:rtl/>
        </w:rPr>
        <w:t xml:space="preserve"> </w:t>
      </w:r>
      <w:r w:rsidRPr="00756B3C">
        <w:rPr>
          <w:rFonts w:hint="eastAsia"/>
          <w:rtl/>
        </w:rPr>
        <w:t>לה</w:t>
      </w:r>
      <w:r w:rsidRPr="00756B3C">
        <w:rPr>
          <w:rtl/>
        </w:rPr>
        <w:t xml:space="preserve"> </w:t>
      </w:r>
      <w:r w:rsidRPr="00756B3C">
        <w:rPr>
          <w:rFonts w:hint="eastAsia"/>
          <w:rtl/>
        </w:rPr>
        <w:t>אמר</w:t>
      </w:r>
      <w:r w:rsidRPr="00756B3C">
        <w:rPr>
          <w:rtl/>
        </w:rPr>
        <w:t xml:space="preserve"> </w:t>
      </w:r>
      <w:r w:rsidRPr="00756B3C">
        <w:rPr>
          <w:rFonts w:hint="eastAsia"/>
          <w:rtl/>
        </w:rPr>
        <w:t>רב</w:t>
      </w:r>
      <w:r w:rsidRPr="00756B3C">
        <w:rPr>
          <w:rtl/>
        </w:rPr>
        <w:t xml:space="preserve"> </w:t>
      </w:r>
      <w:proofErr w:type="spellStart"/>
      <w:r w:rsidRPr="00756B3C">
        <w:rPr>
          <w:rFonts w:hint="eastAsia"/>
          <w:rtl/>
        </w:rPr>
        <w:t>חנא</w:t>
      </w:r>
      <w:proofErr w:type="spellEnd"/>
      <w:r w:rsidRPr="00756B3C">
        <w:rPr>
          <w:rtl/>
        </w:rPr>
        <w:t xml:space="preserve"> </w:t>
      </w:r>
      <w:r w:rsidRPr="00756B3C">
        <w:rPr>
          <w:rFonts w:hint="eastAsia"/>
          <w:rtl/>
        </w:rPr>
        <w:t>בר</w:t>
      </w:r>
      <w:r w:rsidRPr="00756B3C">
        <w:rPr>
          <w:rtl/>
        </w:rPr>
        <w:t xml:space="preserve"> </w:t>
      </w:r>
      <w:proofErr w:type="spellStart"/>
      <w:r w:rsidRPr="00756B3C">
        <w:rPr>
          <w:rFonts w:hint="eastAsia"/>
          <w:rtl/>
        </w:rPr>
        <w:t>ביזנא</w:t>
      </w:r>
      <w:proofErr w:type="spellEnd"/>
      <w:r w:rsidRPr="00756B3C">
        <w:rPr>
          <w:rtl/>
        </w:rPr>
        <w:t xml:space="preserve"> </w:t>
      </w:r>
      <w:r w:rsidRPr="00756B3C">
        <w:rPr>
          <w:rFonts w:hint="eastAsia"/>
          <w:rtl/>
        </w:rPr>
        <w:t>אמר</w:t>
      </w:r>
      <w:r w:rsidRPr="00756B3C">
        <w:rPr>
          <w:rtl/>
        </w:rPr>
        <w:t xml:space="preserve"> </w:t>
      </w:r>
      <w:r w:rsidRPr="00756B3C">
        <w:rPr>
          <w:rFonts w:hint="eastAsia"/>
          <w:rtl/>
        </w:rPr>
        <w:t>רבי</w:t>
      </w:r>
      <w:r w:rsidRPr="00756B3C">
        <w:rPr>
          <w:rtl/>
        </w:rPr>
        <w:t xml:space="preserve"> </w:t>
      </w:r>
      <w:r w:rsidRPr="00756B3C">
        <w:rPr>
          <w:rFonts w:hint="eastAsia"/>
          <w:rtl/>
        </w:rPr>
        <w:t>שמעון</w:t>
      </w:r>
      <w:r w:rsidRPr="00756B3C">
        <w:rPr>
          <w:rtl/>
        </w:rPr>
        <w:t xml:space="preserve"> </w:t>
      </w:r>
      <w:proofErr w:type="spellStart"/>
      <w:r w:rsidRPr="00756B3C">
        <w:rPr>
          <w:rFonts w:hint="eastAsia"/>
          <w:rtl/>
        </w:rPr>
        <w:t>חסידא</w:t>
      </w:r>
      <w:proofErr w:type="spellEnd"/>
      <w:r w:rsidRPr="00756B3C">
        <w:rPr>
          <w:rtl/>
        </w:rPr>
        <w:t xml:space="preserve">, </w:t>
      </w:r>
      <w:r w:rsidRPr="00756B3C">
        <w:rPr>
          <w:rFonts w:hint="eastAsia"/>
          <w:rtl/>
        </w:rPr>
        <w:t>ואמרי</w:t>
      </w:r>
      <w:r w:rsidRPr="00756B3C">
        <w:rPr>
          <w:rtl/>
        </w:rPr>
        <w:t xml:space="preserve"> </w:t>
      </w:r>
      <w:r w:rsidRPr="00756B3C">
        <w:rPr>
          <w:rFonts w:hint="eastAsia"/>
          <w:rtl/>
        </w:rPr>
        <w:t>לה</w:t>
      </w:r>
      <w:r w:rsidRPr="00756B3C">
        <w:rPr>
          <w:rtl/>
        </w:rPr>
        <w:t xml:space="preserve"> </w:t>
      </w:r>
      <w:r w:rsidRPr="00756B3C">
        <w:rPr>
          <w:rFonts w:hint="eastAsia"/>
          <w:rtl/>
        </w:rPr>
        <w:t>אמר</w:t>
      </w:r>
      <w:r w:rsidRPr="00756B3C">
        <w:rPr>
          <w:rtl/>
        </w:rPr>
        <w:t xml:space="preserve"> </w:t>
      </w:r>
      <w:r w:rsidRPr="00756B3C">
        <w:rPr>
          <w:rFonts w:hint="eastAsia"/>
          <w:rtl/>
        </w:rPr>
        <w:t>רבי</w:t>
      </w:r>
      <w:r w:rsidRPr="00756B3C">
        <w:rPr>
          <w:rtl/>
        </w:rPr>
        <w:t xml:space="preserve"> </w:t>
      </w:r>
      <w:r w:rsidRPr="00756B3C">
        <w:rPr>
          <w:rFonts w:hint="eastAsia"/>
          <w:rtl/>
        </w:rPr>
        <w:t>יוחנן</w:t>
      </w:r>
      <w:r w:rsidRPr="00756B3C">
        <w:rPr>
          <w:rtl/>
        </w:rPr>
        <w:t xml:space="preserve"> </w:t>
      </w:r>
      <w:r w:rsidRPr="00756B3C">
        <w:rPr>
          <w:rFonts w:hint="eastAsia"/>
          <w:rtl/>
        </w:rPr>
        <w:t>משום</w:t>
      </w:r>
      <w:r w:rsidRPr="00756B3C">
        <w:rPr>
          <w:rtl/>
        </w:rPr>
        <w:t xml:space="preserve"> </w:t>
      </w:r>
      <w:r w:rsidRPr="00756B3C">
        <w:rPr>
          <w:rFonts w:hint="eastAsia"/>
          <w:rtl/>
        </w:rPr>
        <w:t>ר</w:t>
      </w:r>
      <w:r w:rsidRPr="00756B3C">
        <w:rPr>
          <w:rtl/>
        </w:rPr>
        <w:t xml:space="preserve">' </w:t>
      </w:r>
      <w:r w:rsidRPr="00756B3C">
        <w:rPr>
          <w:rFonts w:hint="eastAsia"/>
          <w:rtl/>
        </w:rPr>
        <w:t>שמעון</w:t>
      </w:r>
      <w:r w:rsidRPr="00756B3C">
        <w:rPr>
          <w:rtl/>
        </w:rPr>
        <w:t xml:space="preserve"> </w:t>
      </w:r>
      <w:r w:rsidRPr="00756B3C">
        <w:rPr>
          <w:rFonts w:hint="eastAsia"/>
          <w:rtl/>
        </w:rPr>
        <w:t>בן</w:t>
      </w:r>
      <w:r w:rsidRPr="00756B3C">
        <w:rPr>
          <w:rtl/>
        </w:rPr>
        <w:t xml:space="preserve"> </w:t>
      </w:r>
      <w:r w:rsidRPr="00756B3C">
        <w:rPr>
          <w:rFonts w:hint="eastAsia"/>
          <w:rtl/>
        </w:rPr>
        <w:t>יוחי</w:t>
      </w:r>
      <w:r w:rsidRPr="00756B3C">
        <w:rPr>
          <w:rtl/>
        </w:rPr>
        <w:t xml:space="preserve">: </w:t>
      </w:r>
      <w:r w:rsidRPr="00756B3C">
        <w:rPr>
          <w:rFonts w:hint="eastAsia"/>
          <w:rtl/>
        </w:rPr>
        <w:t>נוח</w:t>
      </w:r>
      <w:r w:rsidRPr="00756B3C">
        <w:rPr>
          <w:rtl/>
        </w:rPr>
        <w:t xml:space="preserve"> </w:t>
      </w:r>
      <w:r w:rsidRPr="00756B3C">
        <w:rPr>
          <w:rFonts w:hint="eastAsia"/>
          <w:rtl/>
        </w:rPr>
        <w:t>לו</w:t>
      </w:r>
      <w:r w:rsidRPr="00756B3C">
        <w:rPr>
          <w:rtl/>
        </w:rPr>
        <w:t xml:space="preserve"> </w:t>
      </w:r>
      <w:r w:rsidRPr="00756B3C">
        <w:rPr>
          <w:rFonts w:hint="eastAsia"/>
          <w:rtl/>
        </w:rPr>
        <w:t>לאדם</w:t>
      </w:r>
      <w:r w:rsidRPr="00756B3C">
        <w:rPr>
          <w:rtl/>
        </w:rPr>
        <w:t xml:space="preserve"> </w:t>
      </w:r>
      <w:r w:rsidRPr="00756B3C">
        <w:rPr>
          <w:rFonts w:hint="eastAsia"/>
          <w:rtl/>
        </w:rPr>
        <w:t>שיפיל</w:t>
      </w:r>
      <w:r w:rsidRPr="00756B3C">
        <w:rPr>
          <w:rtl/>
        </w:rPr>
        <w:t xml:space="preserve"> </w:t>
      </w:r>
      <w:r w:rsidRPr="00756B3C">
        <w:rPr>
          <w:rFonts w:hint="eastAsia"/>
          <w:rtl/>
        </w:rPr>
        <w:t>עצמו</w:t>
      </w:r>
      <w:r w:rsidRPr="00756B3C">
        <w:rPr>
          <w:rtl/>
        </w:rPr>
        <w:t xml:space="preserve"> </w:t>
      </w:r>
      <w:r w:rsidRPr="00756B3C">
        <w:rPr>
          <w:rFonts w:hint="eastAsia"/>
          <w:rtl/>
        </w:rPr>
        <w:t>לתוך</w:t>
      </w:r>
      <w:r w:rsidRPr="00756B3C">
        <w:rPr>
          <w:rtl/>
        </w:rPr>
        <w:t xml:space="preserve"> </w:t>
      </w:r>
      <w:r w:rsidRPr="00756B3C">
        <w:rPr>
          <w:rFonts w:hint="eastAsia"/>
          <w:rtl/>
        </w:rPr>
        <w:t>כבשן</w:t>
      </w:r>
      <w:r w:rsidRPr="00756B3C">
        <w:rPr>
          <w:rtl/>
        </w:rPr>
        <w:t xml:space="preserve"> </w:t>
      </w:r>
      <w:r w:rsidRPr="00756B3C">
        <w:rPr>
          <w:rFonts w:hint="eastAsia"/>
          <w:rtl/>
        </w:rPr>
        <w:t>האש</w:t>
      </w:r>
      <w:r w:rsidRPr="00756B3C">
        <w:rPr>
          <w:rtl/>
        </w:rPr>
        <w:t xml:space="preserve"> </w:t>
      </w:r>
      <w:r w:rsidRPr="00756B3C">
        <w:rPr>
          <w:rFonts w:hint="eastAsia"/>
          <w:rtl/>
        </w:rPr>
        <w:t>ואל</w:t>
      </w:r>
      <w:r w:rsidRPr="00756B3C">
        <w:rPr>
          <w:rtl/>
        </w:rPr>
        <w:t xml:space="preserve"> </w:t>
      </w:r>
      <w:r w:rsidRPr="00756B3C">
        <w:rPr>
          <w:rFonts w:hint="eastAsia"/>
          <w:rtl/>
        </w:rPr>
        <w:t>ילבין</w:t>
      </w:r>
      <w:r w:rsidRPr="00756B3C">
        <w:rPr>
          <w:rtl/>
        </w:rPr>
        <w:t xml:space="preserve"> </w:t>
      </w:r>
      <w:r w:rsidRPr="00756B3C">
        <w:rPr>
          <w:rFonts w:hint="eastAsia"/>
          <w:rtl/>
        </w:rPr>
        <w:t>פני</w:t>
      </w:r>
      <w:r w:rsidRPr="00756B3C">
        <w:rPr>
          <w:rtl/>
        </w:rPr>
        <w:t xml:space="preserve"> </w:t>
      </w:r>
      <w:proofErr w:type="spellStart"/>
      <w:r w:rsidRPr="00756B3C">
        <w:rPr>
          <w:rFonts w:hint="eastAsia"/>
          <w:rtl/>
        </w:rPr>
        <w:t>חבירו</w:t>
      </w:r>
      <w:proofErr w:type="spellEnd"/>
      <w:r w:rsidRPr="00756B3C">
        <w:rPr>
          <w:rtl/>
        </w:rPr>
        <w:t xml:space="preserve"> </w:t>
      </w:r>
      <w:r w:rsidRPr="00756B3C">
        <w:rPr>
          <w:rFonts w:hint="eastAsia"/>
          <w:rtl/>
        </w:rPr>
        <w:t>ברבים</w:t>
      </w:r>
      <w:r w:rsidRPr="00756B3C">
        <w:rPr>
          <w:rtl/>
        </w:rPr>
        <w:t xml:space="preserve">. </w:t>
      </w:r>
      <w:proofErr w:type="spellStart"/>
      <w:r w:rsidRPr="00756B3C">
        <w:rPr>
          <w:rFonts w:hint="eastAsia"/>
          <w:rtl/>
        </w:rPr>
        <w:t>מנלן</w:t>
      </w:r>
      <w:proofErr w:type="spellEnd"/>
      <w:r w:rsidRPr="00756B3C">
        <w:rPr>
          <w:rtl/>
        </w:rPr>
        <w:t xml:space="preserve">? </w:t>
      </w:r>
      <w:r w:rsidRPr="00756B3C">
        <w:rPr>
          <w:rFonts w:hint="eastAsia"/>
          <w:rtl/>
        </w:rPr>
        <w:t>מתמר</w:t>
      </w:r>
      <w:r w:rsidRPr="00756B3C">
        <w:rPr>
          <w:rtl/>
        </w:rPr>
        <w:t>.</w:t>
      </w:r>
    </w:p>
    <w:p w14:paraId="5C22C769" w14:textId="77777777" w:rsidR="005C5120" w:rsidRDefault="005C5120" w:rsidP="005C5120">
      <w:pPr>
        <w:pStyle w:val="Heading2"/>
        <w:rPr>
          <w:rtl/>
        </w:rPr>
      </w:pPr>
      <w:bookmarkStart w:id="1" w:name="_Toc513999355"/>
      <w:r>
        <w:rPr>
          <w:rtl/>
        </w:rPr>
        <w:t xml:space="preserve">תוספות מסכת סוטה </w:t>
      </w:r>
      <w:r>
        <w:rPr>
          <w:rFonts w:hint="cs"/>
          <w:rtl/>
        </w:rPr>
        <w:t xml:space="preserve">י: ד"ה </w:t>
      </w:r>
      <w:r>
        <w:rPr>
          <w:rtl/>
        </w:rPr>
        <w:t>נוח לו לאדם שיפיל את עצמו לתוך כבשן האש</w:t>
      </w:r>
      <w:bookmarkEnd w:id="1"/>
    </w:p>
    <w:p w14:paraId="396FE4CB" w14:textId="76DB09E6" w:rsidR="0059770D" w:rsidRDefault="005C5120" w:rsidP="005C5120">
      <w:proofErr w:type="spellStart"/>
      <w:r>
        <w:rPr>
          <w:rtl/>
        </w:rPr>
        <w:t>כדאמר</w:t>
      </w:r>
      <w:proofErr w:type="spellEnd"/>
      <w:r>
        <w:rPr>
          <w:rtl/>
        </w:rPr>
        <w:t xml:space="preserve"> </w:t>
      </w:r>
      <w:proofErr w:type="spellStart"/>
      <w:r>
        <w:rPr>
          <w:rtl/>
        </w:rPr>
        <w:t>בפ</w:t>
      </w:r>
      <w:proofErr w:type="spellEnd"/>
      <w:r>
        <w:rPr>
          <w:rtl/>
        </w:rPr>
        <w:t>' הזהב (</w:t>
      </w:r>
      <w:proofErr w:type="spellStart"/>
      <w:r>
        <w:rPr>
          <w:rtl/>
        </w:rPr>
        <w:t>ב"מ</w:t>
      </w:r>
      <w:proofErr w:type="spellEnd"/>
      <w:r>
        <w:rPr>
          <w:rtl/>
        </w:rPr>
        <w:t xml:space="preserve"> דף נח:) כל </w:t>
      </w:r>
      <w:proofErr w:type="spellStart"/>
      <w:r>
        <w:rPr>
          <w:rtl/>
        </w:rPr>
        <w:t>היורדין</w:t>
      </w:r>
      <w:proofErr w:type="spellEnd"/>
      <w:r>
        <w:rPr>
          <w:rtl/>
        </w:rPr>
        <w:t xml:space="preserve"> </w:t>
      </w:r>
      <w:proofErr w:type="spellStart"/>
      <w:r>
        <w:rPr>
          <w:rtl/>
        </w:rPr>
        <w:t>לגיהנם</w:t>
      </w:r>
      <w:proofErr w:type="spellEnd"/>
      <w:r>
        <w:rPr>
          <w:rtl/>
        </w:rPr>
        <w:t xml:space="preserve"> </w:t>
      </w:r>
      <w:proofErr w:type="spellStart"/>
      <w:r>
        <w:rPr>
          <w:rtl/>
        </w:rPr>
        <w:t>עולין</w:t>
      </w:r>
      <w:proofErr w:type="spellEnd"/>
      <w:r>
        <w:rPr>
          <w:rtl/>
        </w:rPr>
        <w:t xml:space="preserve"> חוץ משלשה וחד </w:t>
      </w:r>
      <w:proofErr w:type="spellStart"/>
      <w:r>
        <w:rPr>
          <w:rtl/>
        </w:rPr>
        <w:t>מינייהו</w:t>
      </w:r>
      <w:proofErr w:type="spellEnd"/>
      <w:r>
        <w:rPr>
          <w:rtl/>
        </w:rPr>
        <w:t xml:space="preserve"> המלבין פני </w:t>
      </w:r>
      <w:proofErr w:type="spellStart"/>
      <w:r>
        <w:rPr>
          <w:rtl/>
        </w:rPr>
        <w:t>חבירו</w:t>
      </w:r>
      <w:proofErr w:type="spellEnd"/>
      <w:r>
        <w:rPr>
          <w:rtl/>
        </w:rPr>
        <w:t xml:space="preserve"> ברבים ואומר </w:t>
      </w:r>
      <w:proofErr w:type="spellStart"/>
      <w:r>
        <w:rPr>
          <w:rtl/>
        </w:rPr>
        <w:t>נמי</w:t>
      </w:r>
      <w:proofErr w:type="spellEnd"/>
      <w:r>
        <w:rPr>
          <w:rtl/>
        </w:rPr>
        <w:t xml:space="preserve"> (שם נט.) נוח לו לאדם </w:t>
      </w:r>
      <w:proofErr w:type="spellStart"/>
      <w:r>
        <w:rPr>
          <w:rtl/>
        </w:rPr>
        <w:t>שיבעול</w:t>
      </w:r>
      <w:proofErr w:type="spellEnd"/>
      <w:r>
        <w:rPr>
          <w:rtl/>
        </w:rPr>
        <w:t xml:space="preserve"> ספק אשת איש ואל ילבין פני </w:t>
      </w:r>
      <w:proofErr w:type="spellStart"/>
      <w:r>
        <w:rPr>
          <w:rtl/>
        </w:rPr>
        <w:t>חבירו</w:t>
      </w:r>
      <w:proofErr w:type="spellEnd"/>
      <w:r>
        <w:rPr>
          <w:rtl/>
        </w:rPr>
        <w:t xml:space="preserve"> ברבים </w:t>
      </w:r>
      <w:proofErr w:type="spellStart"/>
      <w:r>
        <w:rPr>
          <w:rtl/>
        </w:rPr>
        <w:t>מנלן</w:t>
      </w:r>
      <w:proofErr w:type="spellEnd"/>
      <w:r>
        <w:rPr>
          <w:rtl/>
        </w:rPr>
        <w:t xml:space="preserve"> מדוד ונראה האי דלא </w:t>
      </w:r>
      <w:proofErr w:type="spellStart"/>
      <w:r>
        <w:rPr>
          <w:rtl/>
        </w:rPr>
        <w:t>חשיב</w:t>
      </w:r>
      <w:proofErr w:type="spellEnd"/>
      <w:r>
        <w:rPr>
          <w:rtl/>
        </w:rPr>
        <w:t xml:space="preserve"> ליה </w:t>
      </w:r>
      <w:r>
        <w:rPr>
          <w:rtl/>
        </w:rPr>
        <w:lastRenderedPageBreak/>
        <w:t xml:space="preserve">(פסחים דף כה.) בהדי ג' עבירות שאין עומדים בפני פקוח נפש עבודת כוכבים וגילוי עריות ושפיכות דמים משום </w:t>
      </w:r>
      <w:proofErr w:type="spellStart"/>
      <w:r>
        <w:rPr>
          <w:rtl/>
        </w:rPr>
        <w:t>דעבירת</w:t>
      </w:r>
      <w:proofErr w:type="spellEnd"/>
      <w:r>
        <w:rPr>
          <w:rtl/>
        </w:rPr>
        <w:t xml:space="preserve"> הלבנת פנים אינה מפורשת בתורה ולא נקט אלא עבירות המפורשות.</w:t>
      </w:r>
    </w:p>
    <w:p w14:paraId="4677873A" w14:textId="77777777" w:rsidR="000B2648" w:rsidRDefault="000B2648" w:rsidP="000B2648">
      <w:pPr>
        <w:pStyle w:val="Heading2"/>
        <w:rPr>
          <w:rtl/>
        </w:rPr>
      </w:pPr>
      <w:bookmarkStart w:id="2" w:name="_Toc513999357"/>
      <w:r>
        <w:rPr>
          <w:rFonts w:hint="cs"/>
          <w:rtl/>
        </w:rPr>
        <w:t>שערי תשובה פרק ג סימן קלט</w:t>
      </w:r>
      <w:bookmarkEnd w:id="2"/>
    </w:p>
    <w:p w14:paraId="728B85A6" w14:textId="77777777" w:rsidR="000B2648" w:rsidRDefault="000B2648" w:rsidP="000B2648">
      <w:pPr>
        <w:rPr>
          <w:rtl/>
        </w:rPr>
      </w:pPr>
      <w:r w:rsidRPr="00E6339C">
        <w:rPr>
          <w:rtl/>
        </w:rPr>
        <w:t xml:space="preserve">והנה אבק הרציחה - הלבנת פנים, כי פניו </w:t>
      </w:r>
      <w:proofErr w:type="spellStart"/>
      <w:r w:rsidRPr="00E6339C">
        <w:rPr>
          <w:rtl/>
        </w:rPr>
        <w:t>יחורו</w:t>
      </w:r>
      <w:proofErr w:type="spellEnd"/>
      <w:r w:rsidRPr="00E6339C">
        <w:rPr>
          <w:rtl/>
        </w:rPr>
        <w:t xml:space="preserve"> ונס מראה האודם, ודומה אל הרציחה. וכן אמרו רבותינו </w:t>
      </w:r>
      <w:proofErr w:type="spellStart"/>
      <w:r w:rsidRPr="00E6339C">
        <w:rPr>
          <w:rtl/>
        </w:rPr>
        <w:t>זכרונם</w:t>
      </w:r>
      <w:proofErr w:type="spellEnd"/>
      <w:r w:rsidRPr="00E6339C">
        <w:rPr>
          <w:rtl/>
        </w:rPr>
        <w:t xml:space="preserve"> לברכה (בבא מציעא נח, ב). והשנית, כי צער ההלבנה מר ממות, על כן אמרו רבותינו </w:t>
      </w:r>
      <w:proofErr w:type="spellStart"/>
      <w:r w:rsidRPr="00E6339C">
        <w:rPr>
          <w:rtl/>
        </w:rPr>
        <w:t>זכרונם</w:t>
      </w:r>
      <w:proofErr w:type="spellEnd"/>
      <w:r w:rsidRPr="00E6339C">
        <w:rPr>
          <w:rtl/>
        </w:rPr>
        <w:t xml:space="preserve"> לברכה (בבא מציעא נט, א): לעולם יפיל אדם עצמו לכבשן האש ואל ילבין פני </w:t>
      </w:r>
      <w:proofErr w:type="spellStart"/>
      <w:r w:rsidRPr="00E6339C">
        <w:rPr>
          <w:rtl/>
        </w:rPr>
        <w:t>חבירו</w:t>
      </w:r>
      <w:proofErr w:type="spellEnd"/>
      <w:r w:rsidRPr="00E6339C">
        <w:rPr>
          <w:rtl/>
        </w:rPr>
        <w:t xml:space="preserve"> ברבים. ולא אמרו כן בשאר עבירות חמורות, אכן דמו אבק הרציחה אל הרציחה, וכמו שאמרו (סנהדרין עד, א) כי </w:t>
      </w:r>
      <w:proofErr w:type="spellStart"/>
      <w:r w:rsidRPr="00E6339C">
        <w:rPr>
          <w:rtl/>
        </w:rPr>
        <w:t>יהרג</w:t>
      </w:r>
      <w:proofErr w:type="spellEnd"/>
      <w:r w:rsidRPr="00E6339C">
        <w:rPr>
          <w:rtl/>
        </w:rPr>
        <w:t xml:space="preserve"> ולא ירצח. ודומה לזה אמרו שיפיל עצמו לכבשן האש ולא ילבין פני </w:t>
      </w:r>
      <w:proofErr w:type="spellStart"/>
      <w:r w:rsidRPr="00E6339C">
        <w:rPr>
          <w:rtl/>
        </w:rPr>
        <w:t>חבירו</w:t>
      </w:r>
      <w:proofErr w:type="spellEnd"/>
      <w:r w:rsidRPr="00E6339C">
        <w:rPr>
          <w:rtl/>
        </w:rPr>
        <w:t xml:space="preserve"> ברבים. ולמדו זה </w:t>
      </w:r>
      <w:proofErr w:type="spellStart"/>
      <w:r w:rsidRPr="00E6339C">
        <w:rPr>
          <w:rtl/>
        </w:rPr>
        <w:t>מענין</w:t>
      </w:r>
      <w:proofErr w:type="spellEnd"/>
      <w:r w:rsidRPr="00E6339C">
        <w:rPr>
          <w:rtl/>
        </w:rPr>
        <w:t xml:space="preserve"> תמר, שנאמר (בראשית לח, כה): "היא מוצאת והיא שלחה אל חמיה וגו'", הנה כי אף על פי שהוציאוה </w:t>
      </w:r>
      <w:proofErr w:type="spellStart"/>
      <w:r w:rsidRPr="00E6339C">
        <w:rPr>
          <w:rtl/>
        </w:rPr>
        <w:t>לישרף</w:t>
      </w:r>
      <w:proofErr w:type="spellEnd"/>
      <w:r w:rsidRPr="00E6339C">
        <w:rPr>
          <w:rtl/>
        </w:rPr>
        <w:t>, לא גלתה כי היתה הרה מיהודה, שלא להלבין פניו.</w:t>
      </w:r>
    </w:p>
    <w:p w14:paraId="0E4ABAB6" w14:textId="77777777" w:rsidR="00120658" w:rsidRDefault="00120658" w:rsidP="00120658">
      <w:pPr>
        <w:pStyle w:val="Heading2"/>
        <w:rPr>
          <w:rtl/>
        </w:rPr>
      </w:pPr>
      <w:bookmarkStart w:id="3" w:name="_Toc513999356"/>
      <w:r>
        <w:rPr>
          <w:rtl/>
        </w:rPr>
        <w:t xml:space="preserve">חידושי </w:t>
      </w:r>
      <w:proofErr w:type="spellStart"/>
      <w:r>
        <w:rPr>
          <w:rtl/>
        </w:rPr>
        <w:t>הגרי"ז</w:t>
      </w:r>
      <w:proofErr w:type="spellEnd"/>
      <w:r>
        <w:rPr>
          <w:rtl/>
        </w:rPr>
        <w:t xml:space="preserve"> מסכת סוטה</w:t>
      </w:r>
      <w:r>
        <w:rPr>
          <w:rFonts w:hint="cs"/>
          <w:rtl/>
        </w:rPr>
        <w:t xml:space="preserve"> י:</w:t>
      </w:r>
      <w:bookmarkEnd w:id="3"/>
      <w:r>
        <w:rPr>
          <w:rtl/>
        </w:rPr>
        <w:t xml:space="preserve">   </w:t>
      </w:r>
    </w:p>
    <w:p w14:paraId="63E98F43" w14:textId="77777777" w:rsidR="00120658" w:rsidRDefault="00120658" w:rsidP="00120658">
      <w:pPr>
        <w:rPr>
          <w:rtl/>
        </w:rPr>
      </w:pPr>
      <w:r>
        <w:rPr>
          <w:rtl/>
        </w:rPr>
        <w:t xml:space="preserve">גמ' נוח לו לאדם שיפיל עצמו </w:t>
      </w:r>
      <w:proofErr w:type="spellStart"/>
      <w:r>
        <w:rPr>
          <w:rtl/>
        </w:rPr>
        <w:t>וכו</w:t>
      </w:r>
      <w:proofErr w:type="spellEnd"/>
      <w:r>
        <w:rPr>
          <w:rtl/>
        </w:rPr>
        <w:t xml:space="preserve">', וכתבו </w:t>
      </w:r>
      <w:proofErr w:type="spellStart"/>
      <w:r>
        <w:rPr>
          <w:rtl/>
        </w:rPr>
        <w:t>התוס</w:t>
      </w:r>
      <w:proofErr w:type="spellEnd"/>
      <w:r>
        <w:rPr>
          <w:rtl/>
        </w:rPr>
        <w:t xml:space="preserve">' </w:t>
      </w:r>
      <w:proofErr w:type="spellStart"/>
      <w:r>
        <w:rPr>
          <w:rtl/>
        </w:rPr>
        <w:t>דהאי</w:t>
      </w:r>
      <w:proofErr w:type="spellEnd"/>
      <w:r>
        <w:rPr>
          <w:rtl/>
        </w:rPr>
        <w:t xml:space="preserve"> דלא </w:t>
      </w:r>
      <w:proofErr w:type="spellStart"/>
      <w:r>
        <w:rPr>
          <w:rtl/>
        </w:rPr>
        <w:t>חשיב</w:t>
      </w:r>
      <w:proofErr w:type="spellEnd"/>
      <w:r>
        <w:rPr>
          <w:rtl/>
        </w:rPr>
        <w:t xml:space="preserve"> ליה בהדי ג' עבירות שאין </w:t>
      </w:r>
      <w:proofErr w:type="spellStart"/>
      <w:r>
        <w:rPr>
          <w:rtl/>
        </w:rPr>
        <w:t>עומדין</w:t>
      </w:r>
      <w:proofErr w:type="spellEnd"/>
      <w:r>
        <w:rPr>
          <w:rtl/>
        </w:rPr>
        <w:t xml:space="preserve"> בפני </w:t>
      </w:r>
      <w:proofErr w:type="spellStart"/>
      <w:r>
        <w:rPr>
          <w:rtl/>
        </w:rPr>
        <w:t>פקו"נ</w:t>
      </w:r>
      <w:proofErr w:type="spellEnd"/>
      <w:r>
        <w:rPr>
          <w:rtl/>
        </w:rPr>
        <w:t xml:space="preserve"> וכו' משום </w:t>
      </w:r>
      <w:proofErr w:type="spellStart"/>
      <w:r>
        <w:rPr>
          <w:rtl/>
        </w:rPr>
        <w:t>דעבירת</w:t>
      </w:r>
      <w:proofErr w:type="spellEnd"/>
      <w:r>
        <w:rPr>
          <w:rtl/>
        </w:rPr>
        <w:t xml:space="preserve"> הלבנת פנים אינה מפורשת בתורה ולא </w:t>
      </w:r>
      <w:proofErr w:type="spellStart"/>
      <w:r>
        <w:rPr>
          <w:rtl/>
        </w:rPr>
        <w:t>חשיב</w:t>
      </w:r>
      <w:proofErr w:type="spellEnd"/>
      <w:r>
        <w:rPr>
          <w:rtl/>
        </w:rPr>
        <w:t xml:space="preserve"> אלא עבירות המפורשות ע"ש, אמנם לכאורה אין זו קושיא דבג' עבירות דין הוא </w:t>
      </w:r>
      <w:proofErr w:type="spellStart"/>
      <w:r>
        <w:rPr>
          <w:rtl/>
        </w:rPr>
        <w:t>ליהרג</w:t>
      </w:r>
      <w:proofErr w:type="spellEnd"/>
      <w:r>
        <w:rPr>
          <w:rtl/>
        </w:rPr>
        <w:t xml:space="preserve"> ולא לעבור אבל כאן אין זה הלכה כי אם מידת חסידות, אמנם נראה </w:t>
      </w:r>
      <w:proofErr w:type="spellStart"/>
      <w:r>
        <w:rPr>
          <w:rtl/>
        </w:rPr>
        <w:t>דהתוס</w:t>
      </w:r>
      <w:proofErr w:type="spellEnd"/>
      <w:r>
        <w:rPr>
          <w:rtl/>
        </w:rPr>
        <w:t xml:space="preserve">' </w:t>
      </w:r>
      <w:proofErr w:type="spellStart"/>
      <w:r>
        <w:rPr>
          <w:rtl/>
        </w:rPr>
        <w:t>ס"ל</w:t>
      </w:r>
      <w:proofErr w:type="spellEnd"/>
      <w:r>
        <w:rPr>
          <w:rtl/>
        </w:rPr>
        <w:t xml:space="preserve"> דאי לא היה זה </w:t>
      </w:r>
      <w:proofErr w:type="spellStart"/>
      <w:r>
        <w:rPr>
          <w:rtl/>
        </w:rPr>
        <w:t>מדינא</w:t>
      </w:r>
      <w:proofErr w:type="spellEnd"/>
      <w:r>
        <w:rPr>
          <w:rtl/>
        </w:rPr>
        <w:t xml:space="preserve"> לא היה מותר להפיל עצמו לכבשן האש, וע"כ מוכח </w:t>
      </w:r>
      <w:proofErr w:type="spellStart"/>
      <w:r>
        <w:rPr>
          <w:rtl/>
        </w:rPr>
        <w:t>דזה</w:t>
      </w:r>
      <w:proofErr w:type="spellEnd"/>
      <w:r>
        <w:rPr>
          <w:rtl/>
        </w:rPr>
        <w:t xml:space="preserve"> דין ולכן קשה ליה למה לא </w:t>
      </w:r>
      <w:proofErr w:type="spellStart"/>
      <w:r>
        <w:rPr>
          <w:rtl/>
        </w:rPr>
        <w:t>חשיב</w:t>
      </w:r>
      <w:proofErr w:type="spellEnd"/>
      <w:r>
        <w:rPr>
          <w:rtl/>
        </w:rPr>
        <w:t xml:space="preserve"> ותירצו כנ"ל.</w:t>
      </w:r>
    </w:p>
    <w:p w14:paraId="4C17C1ED" w14:textId="4F539604" w:rsidR="000B2648" w:rsidRDefault="00AE6CF1" w:rsidP="00AE6CF1">
      <w:pPr>
        <w:pStyle w:val="Heading1"/>
        <w:rPr>
          <w:rtl/>
        </w:rPr>
      </w:pPr>
      <w:proofErr w:type="spellStart"/>
      <w:r>
        <w:rPr>
          <w:rFonts w:hint="cs"/>
          <w:rtl/>
        </w:rPr>
        <w:t>יהרג</w:t>
      </w:r>
      <w:proofErr w:type="spellEnd"/>
      <w:r>
        <w:rPr>
          <w:rFonts w:hint="cs"/>
          <w:rtl/>
        </w:rPr>
        <w:t xml:space="preserve"> ואל יעובר </w:t>
      </w:r>
      <w:r>
        <w:rPr>
          <w:rtl/>
        </w:rPr>
        <w:t>–</w:t>
      </w:r>
      <w:r>
        <w:rPr>
          <w:rFonts w:hint="cs"/>
          <w:rtl/>
        </w:rPr>
        <w:t xml:space="preserve"> </w:t>
      </w:r>
      <w:proofErr w:type="spellStart"/>
      <w:r>
        <w:rPr>
          <w:rFonts w:hint="cs"/>
          <w:rtl/>
        </w:rPr>
        <w:t>אבוזרייהו</w:t>
      </w:r>
      <w:proofErr w:type="spellEnd"/>
      <w:r>
        <w:rPr>
          <w:rFonts w:hint="cs"/>
          <w:rtl/>
        </w:rPr>
        <w:t xml:space="preserve"> </w:t>
      </w:r>
      <w:proofErr w:type="spellStart"/>
      <w:r>
        <w:rPr>
          <w:rFonts w:hint="cs"/>
          <w:rtl/>
        </w:rPr>
        <w:t>דעריות</w:t>
      </w:r>
      <w:proofErr w:type="spellEnd"/>
    </w:p>
    <w:p w14:paraId="54AEEED2" w14:textId="1AA231E4" w:rsidR="00AE6CF1" w:rsidRPr="00AE6CF1" w:rsidRDefault="00AE6CF1" w:rsidP="00AE6CF1">
      <w:pPr>
        <w:rPr>
          <w:rFonts w:hint="cs"/>
          <w:rtl/>
        </w:rPr>
      </w:pPr>
      <w:hyperlink r:id="rId6" w:history="1">
        <w:r w:rsidRPr="009E1747">
          <w:rPr>
            <w:rStyle w:val="Hyperlink"/>
          </w:rPr>
          <w:t>https://www.leagle.com/decision/196750254misc2d4481373</w:t>
        </w:r>
      </w:hyperlink>
      <w:r>
        <w:rPr>
          <w:rFonts w:hint="cs"/>
          <w:rtl/>
        </w:rPr>
        <w:t xml:space="preserve"> </w:t>
      </w:r>
    </w:p>
    <w:sectPr w:rsidR="00AE6CF1" w:rsidRPr="00AE6C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4651" w14:textId="77777777" w:rsidR="00776087" w:rsidRDefault="00776087" w:rsidP="009F4441">
      <w:pPr>
        <w:spacing w:after="0" w:line="240" w:lineRule="auto"/>
      </w:pPr>
      <w:r>
        <w:separator/>
      </w:r>
    </w:p>
  </w:endnote>
  <w:endnote w:type="continuationSeparator" w:id="0">
    <w:p w14:paraId="3CA55895" w14:textId="77777777" w:rsidR="00776087" w:rsidRDefault="00776087"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EFF3" w14:textId="77777777" w:rsidR="00C67A15" w:rsidRDefault="00C6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CC64"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D722" w14:textId="77777777" w:rsidR="00C67A15" w:rsidRDefault="00C6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86DD" w14:textId="77777777" w:rsidR="00776087" w:rsidRDefault="00776087" w:rsidP="009F4441">
      <w:pPr>
        <w:spacing w:after="0" w:line="240" w:lineRule="auto"/>
      </w:pPr>
      <w:r>
        <w:separator/>
      </w:r>
    </w:p>
  </w:footnote>
  <w:footnote w:type="continuationSeparator" w:id="0">
    <w:p w14:paraId="4ED50C67" w14:textId="77777777" w:rsidR="00776087" w:rsidRDefault="00776087"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DA8E" w14:textId="77777777" w:rsidR="00C67A15" w:rsidRDefault="00C6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C1B8" w14:textId="58AF96BF"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C67A15">
      <w:rPr>
        <w:rFonts w:hint="cs"/>
        <w:rtl/>
      </w:rPr>
      <w:t xml:space="preserve">     פרשת השבוע</w:t>
    </w:r>
  </w:p>
  <w:p w14:paraId="5CD7724E" w14:textId="1F694F0B" w:rsidR="00E019E9" w:rsidRPr="009F4441" w:rsidRDefault="00C67A15" w:rsidP="000D7D13">
    <w:pPr>
      <w:spacing w:after="0" w:line="240" w:lineRule="auto"/>
    </w:pPr>
    <w:r w:rsidRPr="00C67A15">
      <w:rPr>
        <w:rtl/>
      </w:rPr>
      <w:t>‏‏‏כ"א כסלו תשע"ט</w:t>
    </w:r>
    <w:r w:rsidRPr="00C67A15">
      <w:rPr>
        <w:rtl/>
      </w:rPr>
      <w:tab/>
    </w:r>
    <w:bookmarkStart w:id="4" w:name="_GoBack"/>
    <w:bookmarkEnd w:id="4"/>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F218" w14:textId="77777777" w:rsidR="00C67A15" w:rsidRDefault="00C67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87"/>
    <w:rsid w:val="000B2648"/>
    <w:rsid w:val="000C25FD"/>
    <w:rsid w:val="000D7D13"/>
    <w:rsid w:val="00120658"/>
    <w:rsid w:val="00153920"/>
    <w:rsid w:val="001A3E2F"/>
    <w:rsid w:val="001C1E07"/>
    <w:rsid w:val="00221869"/>
    <w:rsid w:val="002D7162"/>
    <w:rsid w:val="0059770D"/>
    <w:rsid w:val="005C5120"/>
    <w:rsid w:val="00771609"/>
    <w:rsid w:val="00776087"/>
    <w:rsid w:val="009F4441"/>
    <w:rsid w:val="00AE6CF1"/>
    <w:rsid w:val="00C47AA7"/>
    <w:rsid w:val="00C67A15"/>
    <w:rsid w:val="00DA37B2"/>
    <w:rsid w:val="00E0035A"/>
    <w:rsid w:val="00E019E9"/>
    <w:rsid w:val="00FC45C8"/>
    <w:rsid w:val="00FF1B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7A25"/>
  <w15:chartTrackingRefBased/>
  <w15:docId w15:val="{A2293718-6D1B-4B90-BC82-AC92D37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AE6CF1"/>
    <w:rPr>
      <w:color w:val="0563C1" w:themeColor="hyperlink"/>
      <w:u w:val="single"/>
    </w:rPr>
  </w:style>
  <w:style w:type="character" w:styleId="UnresolvedMention">
    <w:name w:val="Unresolved Mention"/>
    <w:basedOn w:val="DefaultParagraphFont"/>
    <w:uiPriority w:val="99"/>
    <w:semiHidden/>
    <w:unhideWhenUsed/>
    <w:rsid w:val="00AE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gle.com/decision/196750254misc2d448137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39</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14</cp:revision>
  <dcterms:created xsi:type="dcterms:W3CDTF">2018-11-29T15:09:00Z</dcterms:created>
  <dcterms:modified xsi:type="dcterms:W3CDTF">2018-11-29T15:57:00Z</dcterms:modified>
</cp:coreProperties>
</file>