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79DE4B" w14:textId="77777777" w:rsidR="009F4441" w:rsidRPr="00EA7F40" w:rsidRDefault="009F4441" w:rsidP="009F4441">
      <w:pPr>
        <w:pStyle w:val="Title"/>
        <w:bidi/>
        <w:rPr>
          <w:sz w:val="72"/>
          <w:szCs w:val="72"/>
          <w:rtl/>
        </w:rPr>
      </w:pPr>
      <w:r w:rsidRPr="00EA7F40">
        <w:rPr>
          <w:rFonts w:hint="cs"/>
          <w:sz w:val="72"/>
          <w:szCs w:val="72"/>
          <w:rtl/>
        </w:rPr>
        <w:t xml:space="preserve">עזר לצבי </w:t>
      </w:r>
    </w:p>
    <w:p w14:paraId="3651BC09" w14:textId="0125C5C1" w:rsidR="009F4441" w:rsidRDefault="00997CC7" w:rsidP="009F4441">
      <w:pPr>
        <w:pStyle w:val="Subtitle"/>
      </w:pPr>
      <w:r>
        <w:rPr>
          <w:rFonts w:hint="cs"/>
          <w:rtl/>
        </w:rPr>
        <w:t>טענינם, בעל דבר ובעל דין</w:t>
      </w:r>
      <w:r>
        <w:rPr>
          <w:rtl/>
        </w:rPr>
        <w:br/>
      </w:r>
      <w:r>
        <w:rPr>
          <w:rFonts w:hint="cs"/>
          <w:rtl/>
        </w:rPr>
        <w:t>מקח טעות, חזקה</w:t>
      </w:r>
    </w:p>
    <w:p w14:paraId="0F3F8A91" w14:textId="77777777" w:rsidR="00514764" w:rsidRPr="008A7072" w:rsidRDefault="00514764" w:rsidP="00514764">
      <w:pPr>
        <w:pStyle w:val="Heading1"/>
        <w:rPr>
          <w:rtl/>
        </w:rPr>
      </w:pPr>
      <w:bookmarkStart w:id="0" w:name="_Toc521478030"/>
      <w:bookmarkStart w:id="1" w:name="_Toc521478395"/>
      <w:bookmarkStart w:id="2" w:name="_Toc521479636"/>
      <w:r>
        <w:rPr>
          <w:rFonts w:hint="cs"/>
          <w:rtl/>
        </w:rPr>
        <w:t xml:space="preserve">תלמוד בבלי </w:t>
      </w:r>
      <w:r>
        <w:rPr>
          <w:rtl/>
        </w:rPr>
        <w:t>–</w:t>
      </w:r>
      <w:r>
        <w:rPr>
          <w:rFonts w:hint="cs"/>
          <w:rtl/>
        </w:rPr>
        <w:t xml:space="preserve"> סברוה</w:t>
      </w:r>
      <w:bookmarkEnd w:id="2"/>
    </w:p>
    <w:p w14:paraId="0E03A6C4" w14:textId="6328210D" w:rsidR="002773E9" w:rsidRDefault="00514764" w:rsidP="002773E9">
      <w:pPr>
        <w:pStyle w:val="Heading2"/>
      </w:pPr>
      <w:r>
        <w:rPr>
          <w:rFonts w:hint="cs"/>
          <w:rtl/>
        </w:rPr>
        <w:t>תוספות בבא בתרא ב.</w:t>
      </w:r>
      <w:r w:rsidR="002773E9">
        <w:rPr>
          <w:rFonts w:hint="cs"/>
          <w:rtl/>
        </w:rPr>
        <w:t xml:space="preserve"> ד"ה </w:t>
      </w:r>
      <w:r w:rsidR="00F33276" w:rsidRPr="00F33276">
        <w:rPr>
          <w:rtl/>
        </w:rPr>
        <w:t>סברוה מאי מחיצה גודא</w:t>
      </w:r>
    </w:p>
    <w:p w14:paraId="44A30B77" w14:textId="6F46E672" w:rsidR="00F33276" w:rsidRPr="00F33276" w:rsidRDefault="00F33276" w:rsidP="00F33276">
      <w:pPr>
        <w:rPr>
          <w:rtl/>
        </w:rPr>
      </w:pPr>
      <w:r w:rsidRPr="00F33276">
        <w:rPr>
          <w:rtl/>
        </w:rPr>
        <w:t>אע"ג דלבסוף קאי קאמר סברוה לפי שזה הלשון אינו עיקר מחמת פירכא דלקמן ודיחוי בעלמא הוא האי דמשני וכלשון שני הלכה וכן פוסק ר"ת ואגב דנקט בהאי לישנא סברוה נקט נמי בלישנא אחריתי ועוד אור"י דבפרק קמא דנדרים (דף יא.) איכא סברוה אע"ג דלבסוף קאי ומסיק הכי.</w:t>
      </w:r>
    </w:p>
    <w:p w14:paraId="13B39C5E" w14:textId="1C6A3FD3" w:rsidR="00514764" w:rsidRDefault="00514764" w:rsidP="00514764">
      <w:pPr>
        <w:pStyle w:val="Heading2"/>
      </w:pPr>
      <w:r w:rsidRPr="008E3C5D">
        <w:rPr>
          <w:rtl/>
        </w:rPr>
        <w:t>ספר הצבא</w:t>
      </w:r>
    </w:p>
    <w:p w14:paraId="6C8284C2" w14:textId="77777777" w:rsidR="00514764" w:rsidRDefault="00514764" w:rsidP="00514764">
      <w:pPr>
        <w:rPr>
          <w:rtl/>
        </w:rPr>
      </w:pPr>
      <w:r w:rsidRPr="008A7072">
        <w:rPr>
          <w:rtl/>
        </w:rPr>
        <w:t>מדה רביעית. סברוה שאינו בטל. בפרק המוכר את הבית (ע' ב') סברוה דכ"ע אית להו דנהרדעי דאמרי האי עיסקא פלגא מלוה ופלגא פקדון, ודוגמתו בב"מ פרק המקבל (ק"ט ב') סבר רב אשי למימר רבעא דהוא דנקא ולפי דעתו של הרב אלפסי ז"ל שפסק כרב אשי ודלא כרב אחא בריה דרב יוסף. ור"ש ז"ל פסק כרב אחא ברי' דרב יוסף ודחאה לדרב אשי והראה פנים לפירושו. וכיוצא בו מאי לאו, בכל מקום סופו להדחות, ויש שנמצא מתקיים, בנדה בפרק כל היד (י"ד א') בדקה בעד שאינו בדוק לה והניחתו בקופסה ומסקנא מאי לאו בזקנותו דר' חייא הוא שטהר משום נדה וטמא משום כתם דמפליג עליה דר' ודחי לאו בילדותו הוה דלא הוה חשיב למפלג עליה דר' חשיב מיניה וקשיש מניה אלא ודאי בזקנותו הוה, שמע מינה:</w:t>
      </w:r>
    </w:p>
    <w:p w14:paraId="5A542BF1" w14:textId="4EDD5C6B" w:rsidR="002B4704" w:rsidRDefault="002B4704" w:rsidP="003400CD">
      <w:pPr>
        <w:pStyle w:val="Heading1"/>
        <w:rPr>
          <w:rtl/>
        </w:rPr>
      </w:pPr>
      <w:r>
        <w:rPr>
          <w:rFonts w:hint="cs"/>
          <w:rtl/>
        </w:rPr>
        <w:t xml:space="preserve">בית דין </w:t>
      </w:r>
      <w:r>
        <w:rPr>
          <w:rtl/>
        </w:rPr>
        <w:t>–</w:t>
      </w:r>
      <w:r>
        <w:rPr>
          <w:rFonts w:hint="cs"/>
          <w:rtl/>
        </w:rPr>
        <w:t xml:space="preserve"> בעל דין</w:t>
      </w:r>
      <w:r w:rsidR="00C02EC4">
        <w:rPr>
          <w:rFonts w:hint="cs"/>
          <w:rtl/>
        </w:rPr>
        <w:t xml:space="preserve"> ובעל דבר</w:t>
      </w:r>
      <w:bookmarkStart w:id="3" w:name="_GoBack"/>
      <w:bookmarkEnd w:id="3"/>
    </w:p>
    <w:p w14:paraId="64FFB086" w14:textId="5DCD2191" w:rsidR="002B4704" w:rsidRPr="002B4704" w:rsidRDefault="002B4704" w:rsidP="002B4704">
      <w:pPr>
        <w:pStyle w:val="Heading2"/>
        <w:rPr>
          <w:rtl/>
        </w:rPr>
      </w:pPr>
      <w:r>
        <w:rPr>
          <w:rFonts w:hint="cs"/>
          <w:rtl/>
        </w:rPr>
        <w:t>גינת אגוז עמ' קמח</w:t>
      </w:r>
    </w:p>
    <w:p w14:paraId="7A427C89" w14:textId="621BA9F6" w:rsidR="003400CD" w:rsidRDefault="001E2343" w:rsidP="003400CD">
      <w:pPr>
        <w:pStyle w:val="Heading1"/>
        <w:rPr>
          <w:rtl/>
        </w:rPr>
      </w:pPr>
      <w:r>
        <w:rPr>
          <w:rFonts w:hint="cs"/>
          <w:rtl/>
        </w:rPr>
        <w:t xml:space="preserve">בית דין </w:t>
      </w:r>
      <w:r>
        <w:rPr>
          <w:rtl/>
        </w:rPr>
        <w:t>–</w:t>
      </w:r>
      <w:r>
        <w:rPr>
          <w:rFonts w:hint="cs"/>
          <w:rtl/>
        </w:rPr>
        <w:t xml:space="preserve"> </w:t>
      </w:r>
      <w:r w:rsidRPr="00FB519B">
        <w:rPr>
          <w:rFonts w:hint="cs"/>
          <w:rtl/>
        </w:rPr>
        <w:t>טענינן ליתומים</w:t>
      </w:r>
      <w:bookmarkEnd w:id="0"/>
    </w:p>
    <w:p w14:paraId="2F3676C4" w14:textId="0F717DD4" w:rsidR="0008779C" w:rsidRPr="0008779C" w:rsidRDefault="0008779C" w:rsidP="0008779C">
      <w:pPr>
        <w:pStyle w:val="Heading2"/>
      </w:pPr>
      <w:r>
        <w:rPr>
          <w:rFonts w:hint="cs"/>
          <w:rtl/>
        </w:rPr>
        <w:t>בבא בתרא מ.</w:t>
      </w:r>
    </w:p>
    <w:p w14:paraId="6D071FF3" w14:textId="57873D2B" w:rsidR="001E2343" w:rsidRPr="00FB519B" w:rsidRDefault="001E2343" w:rsidP="001E2343">
      <w:pPr>
        <w:pStyle w:val="Heading2"/>
        <w:rPr>
          <w:shd w:val="clear" w:color="auto" w:fill="FFFFFF"/>
        </w:rPr>
      </w:pPr>
      <w:r w:rsidRPr="00FB519B">
        <w:rPr>
          <w:rFonts w:hint="cs"/>
          <w:shd w:val="clear" w:color="auto" w:fill="FFFFFF"/>
          <w:rtl/>
        </w:rPr>
        <w:t xml:space="preserve">תוספות </w:t>
      </w:r>
      <w:r>
        <w:rPr>
          <w:rFonts w:hint="cs"/>
          <w:shd w:val="clear" w:color="auto" w:fill="FFFFFF"/>
          <w:rtl/>
        </w:rPr>
        <w:t xml:space="preserve">כתובות </w:t>
      </w:r>
      <w:r w:rsidRPr="00FB519B">
        <w:rPr>
          <w:rFonts w:hint="cs"/>
          <w:shd w:val="clear" w:color="auto" w:fill="FFFFFF"/>
          <w:rtl/>
        </w:rPr>
        <w:t>כט: ד"ה כך</w:t>
      </w:r>
    </w:p>
    <w:p w14:paraId="694C8682" w14:textId="718AF297" w:rsidR="001E2343" w:rsidRDefault="001E2343" w:rsidP="001E2343">
      <w:pPr>
        <w:pStyle w:val="Heading2"/>
        <w:rPr>
          <w:shd w:val="clear" w:color="auto" w:fill="FFFFFF"/>
          <w:rtl/>
        </w:rPr>
      </w:pPr>
      <w:r w:rsidRPr="00FB519B">
        <w:rPr>
          <w:rFonts w:hint="cs"/>
          <w:shd w:val="clear" w:color="auto" w:fill="FFFFFF"/>
          <w:rtl/>
        </w:rPr>
        <w:t>מפניני הרב עמ' רפא</w:t>
      </w:r>
    </w:p>
    <w:p w14:paraId="7A896E35" w14:textId="455218A7" w:rsidR="00E50D75" w:rsidRDefault="00E50D75" w:rsidP="00E50D75">
      <w:pPr>
        <w:pStyle w:val="Heading2"/>
      </w:pPr>
      <w:r>
        <w:rPr>
          <w:rFonts w:hint="cs"/>
          <w:rtl/>
        </w:rPr>
        <w:t xml:space="preserve">נפש הרב עמ' רעד </w:t>
      </w:r>
      <w:r>
        <w:rPr>
          <w:rtl/>
        </w:rPr>
        <w:t>–</w:t>
      </w:r>
      <w:r>
        <w:rPr>
          <w:rFonts w:hint="cs"/>
          <w:rtl/>
        </w:rPr>
        <w:t xml:space="preserve"> הקב"ה בעדנו נגד האומות</w:t>
      </w:r>
    </w:p>
    <w:p w14:paraId="79888D90" w14:textId="021B4B4C" w:rsidR="00E84B3E" w:rsidRPr="00E84B3E" w:rsidRDefault="00B330E8" w:rsidP="00B330E8">
      <w:pPr>
        <w:pStyle w:val="Heading2"/>
        <w:rPr>
          <w:rFonts w:hint="cs"/>
          <w:rtl/>
        </w:rPr>
      </w:pPr>
      <w:r>
        <w:rPr>
          <w:rFonts w:hint="cs"/>
          <w:rtl/>
        </w:rPr>
        <w:t xml:space="preserve">בית יצחק כרך מא </w:t>
      </w:r>
      <w:r w:rsidR="00264D5C">
        <w:rPr>
          <w:rFonts w:hint="cs"/>
          <w:rtl/>
        </w:rPr>
        <w:t xml:space="preserve">עמ' </w:t>
      </w:r>
      <w:r w:rsidR="00354C94">
        <w:rPr>
          <w:rFonts w:hint="cs"/>
          <w:rtl/>
        </w:rPr>
        <w:t>604</w:t>
      </w:r>
      <w:r>
        <w:rPr>
          <w:rFonts w:hint="cs"/>
          <w:rtl/>
        </w:rPr>
        <w:t xml:space="preserve"> </w:t>
      </w:r>
    </w:p>
    <w:p w14:paraId="6F412634" w14:textId="0AD4142A" w:rsidR="003400CD" w:rsidRDefault="003400CD" w:rsidP="003400CD">
      <w:pPr>
        <w:pStyle w:val="Heading1"/>
        <w:rPr>
          <w:rtl/>
        </w:rPr>
      </w:pPr>
      <w:r>
        <w:rPr>
          <w:rFonts w:hint="cs"/>
          <w:rtl/>
        </w:rPr>
        <w:t xml:space="preserve">בית דין </w:t>
      </w:r>
      <w:r>
        <w:rPr>
          <w:rtl/>
        </w:rPr>
        <w:t>–</w:t>
      </w:r>
      <w:r>
        <w:rPr>
          <w:rFonts w:hint="cs"/>
          <w:rtl/>
        </w:rPr>
        <w:t xml:space="preserve"> טענינן </w:t>
      </w:r>
      <w:r>
        <w:rPr>
          <w:rtl/>
        </w:rPr>
        <w:t>–</w:t>
      </w:r>
      <w:r>
        <w:rPr>
          <w:rFonts w:hint="cs"/>
          <w:rtl/>
        </w:rPr>
        <w:t xml:space="preserve"> דבר שאינו שכיח, מזוייף</w:t>
      </w:r>
    </w:p>
    <w:p w14:paraId="05164489" w14:textId="03818DE0" w:rsidR="003400CD" w:rsidRDefault="003400CD" w:rsidP="003400CD">
      <w:pPr>
        <w:pStyle w:val="Heading2"/>
        <w:rPr>
          <w:rtl/>
        </w:rPr>
      </w:pPr>
      <w:r>
        <w:rPr>
          <w:rFonts w:hint="cs"/>
          <w:rtl/>
        </w:rPr>
        <w:t>בבא בתרא ע:</w:t>
      </w:r>
    </w:p>
    <w:p w14:paraId="6F6102D5" w14:textId="77777777" w:rsidR="003400CD" w:rsidRPr="003400CD" w:rsidRDefault="003400CD" w:rsidP="003400CD">
      <w:pPr>
        <w:pStyle w:val="Heading2"/>
        <w:rPr>
          <w:rtl/>
        </w:rPr>
      </w:pPr>
      <w:r>
        <w:rPr>
          <w:rFonts w:hint="cs"/>
          <w:rtl/>
        </w:rPr>
        <w:t>תוספות בבא בתרא ע:</w:t>
      </w:r>
    </w:p>
    <w:p w14:paraId="1C2C6D12" w14:textId="7F4E9DED" w:rsidR="003400CD" w:rsidRDefault="00C02EC4" w:rsidP="003400CD">
      <w:pPr>
        <w:pStyle w:val="Heading2"/>
        <w:rPr>
          <w:rtl/>
        </w:rPr>
      </w:pPr>
      <w:r>
        <w:rPr>
          <w:rFonts w:hint="cs"/>
          <w:rtl/>
        </w:rPr>
        <w:t>מלחמת ה' בבא בתרא לז.</w:t>
      </w:r>
    </w:p>
    <w:p w14:paraId="598EFCF2" w14:textId="65EE7E87" w:rsidR="00423169" w:rsidRPr="00423169" w:rsidRDefault="00423169" w:rsidP="00423169">
      <w:pPr>
        <w:pStyle w:val="Heading2"/>
        <w:rPr>
          <w:rFonts w:hint="cs"/>
          <w:rtl/>
        </w:rPr>
      </w:pPr>
      <w:r>
        <w:rPr>
          <w:rFonts w:hint="cs"/>
          <w:rtl/>
        </w:rPr>
        <w:t>תוספות גיטין ב. ד"ה ואם יש</w:t>
      </w:r>
    </w:p>
    <w:p w14:paraId="1CDD4322" w14:textId="35286236" w:rsidR="008C2136" w:rsidRDefault="008C2136" w:rsidP="008C2136">
      <w:pPr>
        <w:pStyle w:val="Heading1"/>
        <w:rPr>
          <w:rtl/>
        </w:rPr>
      </w:pPr>
      <w:r>
        <w:rPr>
          <w:rFonts w:hint="cs"/>
          <w:rtl/>
        </w:rPr>
        <w:lastRenderedPageBreak/>
        <w:t xml:space="preserve">חזקה </w:t>
      </w:r>
      <w:r>
        <w:rPr>
          <w:rtl/>
        </w:rPr>
        <w:t>–</w:t>
      </w:r>
      <w:r>
        <w:rPr>
          <w:rFonts w:hint="cs"/>
          <w:rtl/>
        </w:rPr>
        <w:t xml:space="preserve"> חמשה סוגי חזקה</w:t>
      </w:r>
      <w:bookmarkEnd w:id="1"/>
    </w:p>
    <w:p w14:paraId="6F652FA3" w14:textId="77777777" w:rsidR="008C2136" w:rsidRDefault="008C2136" w:rsidP="008C2136">
      <w:pPr>
        <w:pStyle w:val="Heading2"/>
      </w:pPr>
      <w:r w:rsidRPr="2C9481E3">
        <w:rPr>
          <w:rtl/>
        </w:rPr>
        <w:t>פרי מגדים פתיחה הכוללת לאורח חיים חלק ה סימן ב</w:t>
      </w:r>
    </w:p>
    <w:p w14:paraId="65C1D9B3" w14:textId="77777777" w:rsidR="003D384B" w:rsidRDefault="008C2136" w:rsidP="008C2136">
      <w:pPr>
        <w:rPr>
          <w:rtl/>
        </w:rPr>
      </w:pPr>
      <w:r w:rsidRPr="00F70A55">
        <w:rPr>
          <w:rtl/>
        </w:rPr>
        <w:t xml:space="preserve">שייך לחלק חמישי. דיני חזקה, תרומת הדשן סימן ר"ז בשו"ת א' כתיב ת"י חידוש, חזקה הבאה מחמת רובא וטבע עולם הולכים אחריה בדיני נפשות כמו בנה מורכב על כתיפה [קידושין פ, א], </w:t>
      </w:r>
    </w:p>
    <w:p w14:paraId="17E17A93" w14:textId="59567B37" w:rsidR="008C2136" w:rsidRPr="00F70A55" w:rsidRDefault="008C2136" w:rsidP="008C2136">
      <w:pPr>
        <w:rPr>
          <w:rtl/>
        </w:rPr>
      </w:pPr>
      <w:r w:rsidRPr="00F70A55">
        <w:rPr>
          <w:rtl/>
        </w:rPr>
        <w:t>הא חזקה שמעתה כמו שהיה מקודם כן עתה, יש לומר בדיני נפשות אין הולכין אחריה. ציינתיו בסוף פתיחה דלעיל. נמצא יש ב' מיני חזקות, א' מחמת רובא ועדיף מחזקה דשעתה, כמו אין עדים חותמין אא"כ נעשה בגדול [כתובות יט, א] וכמו שכתב תרומת הדשן וכדומה, ויש להקשות הא אין הולכין בממון אחר הרוב, והנך רואה שיש חזקה מחמת רובא דהוה המיעוט מיעוטא דמיעוטא וכמאן דליתא דמי, כמו סמוך מיעוטא לחזקת ממון כמו שכתבתי בשושנת העמקים [כלל יב], וכמו חזקה על חבר שאין מוציא מתחת ידו דבר שאינו מתוקן אע"ג דחזקה טבל עיין פסחים ט' א', וד' א' חזקתו בדוק דרוב בודקין כהוגן ומוציא מחזקת הבית כל השנה, עיין יו"ד סי' (קפ"ו) [קכז] בהג"ה אי חמץ מקרי איתחזק, ואי"ה יבואר, עיין אות י"ב שייך לזה, ואות י"ג.</w:t>
      </w:r>
    </w:p>
    <w:p w14:paraId="3D1AA05D" w14:textId="10B9A02D" w:rsidR="000C25FD" w:rsidRDefault="002B5C63" w:rsidP="002B5C63">
      <w:pPr>
        <w:pStyle w:val="Heading1"/>
        <w:rPr>
          <w:rtl/>
        </w:rPr>
      </w:pPr>
      <w:r>
        <w:rPr>
          <w:rFonts w:hint="cs"/>
          <w:rtl/>
        </w:rPr>
        <w:t>תרעומות</w:t>
      </w:r>
    </w:p>
    <w:p w14:paraId="3C42AAC6" w14:textId="4BC40B12" w:rsidR="002B5C63" w:rsidRDefault="002B5C63" w:rsidP="003D6546">
      <w:pPr>
        <w:pStyle w:val="Heading2"/>
        <w:rPr>
          <w:rtl/>
        </w:rPr>
      </w:pPr>
      <w:r>
        <w:rPr>
          <w:rFonts w:hint="cs"/>
          <w:rtl/>
        </w:rPr>
        <w:t xml:space="preserve">תנועת המוסר חלק א </w:t>
      </w:r>
      <w:r w:rsidR="00E04E10">
        <w:rPr>
          <w:rFonts w:hint="cs"/>
          <w:rtl/>
        </w:rPr>
        <w:t xml:space="preserve">סוף </w:t>
      </w:r>
      <w:r>
        <w:rPr>
          <w:rFonts w:hint="cs"/>
          <w:rtl/>
        </w:rPr>
        <w:t xml:space="preserve">פרק כט עמ' </w:t>
      </w:r>
      <w:r w:rsidR="003D6546">
        <w:rPr>
          <w:rFonts w:hint="cs"/>
          <w:rtl/>
        </w:rPr>
        <w:t>384 במהדורה החדשה</w:t>
      </w:r>
    </w:p>
    <w:p w14:paraId="5967FA74" w14:textId="5FFCA7A1" w:rsidR="003D6546" w:rsidRPr="003D6546" w:rsidRDefault="003D6546" w:rsidP="003D6546">
      <w:pPr>
        <w:rPr>
          <w:rtl/>
        </w:rPr>
      </w:pPr>
      <w:r w:rsidRPr="003D6546">
        <w:lastRenderedPageBreak/>
        <w:drawing>
          <wp:inline distT="0" distB="0" distL="0" distR="0" wp14:anchorId="2D8154D2" wp14:editId="559FC498">
            <wp:extent cx="5450205" cy="822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450205" cy="8229600"/>
                    </a:xfrm>
                    <a:prstGeom prst="rect">
                      <a:avLst/>
                    </a:prstGeom>
                  </pic:spPr>
                </pic:pic>
              </a:graphicData>
            </a:graphic>
          </wp:inline>
        </w:drawing>
      </w:r>
      <w:r w:rsidR="00E04E10" w:rsidRPr="00E04E10">
        <w:rPr>
          <w:noProof/>
        </w:rPr>
        <w:t xml:space="preserve"> </w:t>
      </w:r>
      <w:r w:rsidR="00E04E10" w:rsidRPr="00E04E10">
        <w:lastRenderedPageBreak/>
        <w:drawing>
          <wp:inline distT="0" distB="0" distL="0" distR="0" wp14:anchorId="1B0C32DF" wp14:editId="3E085048">
            <wp:extent cx="5450205" cy="8229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450205" cy="8229600"/>
                    </a:xfrm>
                    <a:prstGeom prst="rect">
                      <a:avLst/>
                    </a:prstGeom>
                  </pic:spPr>
                </pic:pic>
              </a:graphicData>
            </a:graphic>
          </wp:inline>
        </w:drawing>
      </w:r>
    </w:p>
    <w:sectPr w:rsidR="003D6546" w:rsidRPr="003D654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470BF3" w14:textId="77777777" w:rsidR="004B6D26" w:rsidRDefault="004B6D26" w:rsidP="009F4441">
      <w:pPr>
        <w:spacing w:after="0" w:line="240" w:lineRule="auto"/>
      </w:pPr>
      <w:r>
        <w:separator/>
      </w:r>
    </w:p>
  </w:endnote>
  <w:endnote w:type="continuationSeparator" w:id="0">
    <w:p w14:paraId="7ECE6E70" w14:textId="77777777" w:rsidR="004B6D26" w:rsidRDefault="004B6D26" w:rsidP="009F4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6DA02" w14:textId="77777777" w:rsidR="00C47AA7" w:rsidRDefault="00C47AA7">
    <w:pPr>
      <w:pStyle w:val="Footer"/>
    </w:pPr>
    <w:r>
      <w:rPr>
        <w:rFonts w:hint="cs"/>
        <w:rtl/>
      </w:rPr>
      <w:t>הוכן על ידי התלמידים</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DF9F30" w14:textId="77777777" w:rsidR="004B6D26" w:rsidRDefault="004B6D26" w:rsidP="009F4441">
      <w:pPr>
        <w:spacing w:after="0" w:line="240" w:lineRule="auto"/>
      </w:pPr>
      <w:r>
        <w:separator/>
      </w:r>
    </w:p>
  </w:footnote>
  <w:footnote w:type="continuationSeparator" w:id="0">
    <w:p w14:paraId="625D6977" w14:textId="77777777" w:rsidR="004B6D26" w:rsidRDefault="004B6D26" w:rsidP="009F44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48545" w14:textId="77777777" w:rsidR="00E019E9" w:rsidRDefault="009F4441" w:rsidP="000D7D13">
    <w:pPr>
      <w:spacing w:after="0" w:line="240" w:lineRule="auto"/>
      <w:jc w:val="center"/>
      <w:rPr>
        <w:rtl/>
      </w:rPr>
    </w:pPr>
    <w:r w:rsidRPr="00C52284">
      <w:rPr>
        <w:rtl/>
      </w:rPr>
      <w:t>הרב צבי שכטר</w:t>
    </w:r>
    <w:r w:rsidR="00E019E9">
      <w:tab/>
    </w:r>
    <w:r w:rsidR="000D7D13">
      <w:rPr>
        <w:rtl/>
      </w:rPr>
      <w:tab/>
    </w:r>
    <w:r w:rsidR="000D7D13">
      <w:rPr>
        <w:rtl/>
      </w:rPr>
      <w:tab/>
    </w:r>
    <w:r w:rsidR="000D7D13">
      <w:rPr>
        <w:rtl/>
      </w:rPr>
      <w:tab/>
    </w:r>
    <w:r w:rsidR="00E019E9">
      <w:tab/>
    </w:r>
    <w:r w:rsidR="005E09FF">
      <w:rPr>
        <w:rFonts w:hint="cs"/>
        <w:rtl/>
      </w:rPr>
      <w:t xml:space="preserve"> </w:t>
    </w:r>
    <w:r w:rsidRPr="00C52284">
      <w:rPr>
        <w:rtl/>
      </w:rPr>
      <w:tab/>
    </w:r>
    <w:r w:rsidRPr="00C52284">
      <w:tab/>
    </w:r>
    <w:r w:rsidRPr="00C52284">
      <w:rPr>
        <w:rtl/>
      </w:rPr>
      <w:tab/>
    </w:r>
    <w:r>
      <w:rPr>
        <w:rtl/>
      </w:rPr>
      <w:tab/>
    </w:r>
    <w:r w:rsidRPr="00C52284">
      <w:rPr>
        <w:rtl/>
      </w:rPr>
      <w:t xml:space="preserve"> </w:t>
    </w:r>
    <w:r w:rsidR="005E09FF">
      <w:rPr>
        <w:rFonts w:hint="cs"/>
        <w:rtl/>
      </w:rPr>
      <w:t xml:space="preserve">     </w:t>
    </w:r>
    <w:r>
      <w:rPr>
        <w:rFonts w:hint="cs"/>
        <w:rtl/>
      </w:rPr>
      <w:t xml:space="preserve">מסכת </w:t>
    </w:r>
    <w:r w:rsidR="005E09FF">
      <w:rPr>
        <w:rFonts w:hint="cs"/>
        <w:rtl/>
      </w:rPr>
      <w:t>בבא קמא ח:-ט.</w:t>
    </w:r>
  </w:p>
  <w:p w14:paraId="7869668E" w14:textId="77777777" w:rsidR="00E019E9" w:rsidRPr="009F4441" w:rsidRDefault="00E019E9" w:rsidP="000D7D13">
    <w:pPr>
      <w:spacing w:after="0" w:line="240" w:lineRule="auto"/>
    </w:pPr>
    <w:r w:rsidRPr="00C52284">
      <w:rPr>
        <w:rtl/>
      </w:rPr>
      <w:t>‏</w:t>
    </w:r>
    <w:r>
      <w:rPr>
        <w:rFonts w:hint="cs"/>
        <w:rtl/>
      </w:rPr>
      <w:t>‏</w:t>
    </w:r>
    <w:r w:rsidR="005E09FF" w:rsidRPr="005E09FF">
      <w:rPr>
        <w:rtl/>
      </w:rPr>
      <w:t>‏י"ד חשון תשע"ט</w:t>
    </w:r>
    <w:r w:rsidR="005E09FF" w:rsidRPr="005E09FF">
      <w:rPr>
        <w:rtl/>
      </w:rPr>
      <w:tab/>
    </w:r>
    <w:r w:rsidR="005E09FF" w:rsidRPr="005E09FF">
      <w:rPr>
        <w:rtl/>
      </w:rPr>
      <w:tab/>
    </w:r>
    <w:r>
      <w:rPr>
        <w:rtl/>
      </w:rPr>
      <w:tab/>
    </w:r>
    <w:r>
      <w:rPr>
        <w:rtl/>
      </w:rPr>
      <w:tab/>
    </w:r>
    <w:r>
      <w:rPr>
        <w:rtl/>
      </w:rPr>
      <w:tab/>
    </w:r>
    <w:r>
      <w:rPr>
        <w:rtl/>
      </w:rPr>
      <w:tab/>
    </w:r>
    <w:r>
      <w:rPr>
        <w:rtl/>
      </w:rPr>
      <w:tab/>
    </w:r>
    <w:r>
      <w:rPr>
        <w:rtl/>
      </w:rPr>
      <w:tab/>
    </w:r>
    <w:r>
      <w:rPr>
        <w:rtl/>
      </w:rPr>
      <w:tab/>
    </w:r>
    <w:r>
      <w:rPr>
        <w:rtl/>
      </w:rPr>
      <w:tab/>
    </w:r>
    <w:r w:rsidR="005E09FF">
      <w:rPr>
        <w:rFonts w:hint="cs"/>
        <w:rtl/>
      </w:rPr>
      <w:t xml:space="preserve">         </w:t>
    </w:r>
    <w:r w:rsidRPr="00C52284">
      <w:rPr>
        <w:rtl/>
      </w:rPr>
      <w:t xml:space="preserve">שיעור </w:t>
    </w:r>
    <w:r w:rsidR="005E09FF">
      <w:rPr>
        <w:rFonts w:hint="cs"/>
        <w:rtl/>
      </w:rPr>
      <w:t>י"ט</w:t>
    </w:r>
    <w:r>
      <w:rPr>
        <w:rtl/>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9FF"/>
    <w:rsid w:val="0008779C"/>
    <w:rsid w:val="000C25FD"/>
    <w:rsid w:val="000D7D13"/>
    <w:rsid w:val="001A3E2F"/>
    <w:rsid w:val="001E2343"/>
    <w:rsid w:val="00264D5C"/>
    <w:rsid w:val="002773E9"/>
    <w:rsid w:val="002B4704"/>
    <w:rsid w:val="002B5C63"/>
    <w:rsid w:val="002D7162"/>
    <w:rsid w:val="003400CD"/>
    <w:rsid w:val="00354C94"/>
    <w:rsid w:val="003D384B"/>
    <w:rsid w:val="003D6546"/>
    <w:rsid w:val="00423169"/>
    <w:rsid w:val="004B6D26"/>
    <w:rsid w:val="00514764"/>
    <w:rsid w:val="005E09FF"/>
    <w:rsid w:val="00771609"/>
    <w:rsid w:val="008C2136"/>
    <w:rsid w:val="00997CC7"/>
    <w:rsid w:val="009F4441"/>
    <w:rsid w:val="00B330E8"/>
    <w:rsid w:val="00C02EC4"/>
    <w:rsid w:val="00C47AA7"/>
    <w:rsid w:val="00E019E9"/>
    <w:rsid w:val="00E04E10"/>
    <w:rsid w:val="00E45BFC"/>
    <w:rsid w:val="00E50D75"/>
    <w:rsid w:val="00E84B3E"/>
    <w:rsid w:val="00F3327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2D0FE"/>
  <w15:chartTrackingRefBased/>
  <w15:docId w15:val="{E178659C-B1A9-4D31-B552-06219327B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2136"/>
    <w:pPr>
      <w:bidi/>
    </w:pPr>
    <w:rPr>
      <w:rFonts w:ascii="Narkisim" w:hAnsi="Narkisim" w:cs="Narkisim"/>
    </w:rPr>
  </w:style>
  <w:style w:type="paragraph" w:styleId="Heading1">
    <w:name w:val="heading 1"/>
    <w:basedOn w:val="Heading3"/>
    <w:next w:val="Normal"/>
    <w:link w:val="Heading1Char"/>
    <w:uiPriority w:val="9"/>
    <w:qFormat/>
    <w:rsid w:val="009F4441"/>
    <w:pPr>
      <w:spacing w:after="240"/>
      <w:outlineLvl w:val="0"/>
    </w:pPr>
    <w:rPr>
      <w:rFonts w:ascii="Narkisim" w:eastAsia="Calibri" w:hAnsi="Narkisim" w:cs="Narkisim"/>
      <w:b/>
      <w:bCs/>
      <w:color w:val="auto"/>
      <w:sz w:val="32"/>
      <w:szCs w:val="32"/>
      <w:u w:val="single"/>
    </w:rPr>
  </w:style>
  <w:style w:type="paragraph" w:styleId="Heading2">
    <w:name w:val="heading 2"/>
    <w:basedOn w:val="Normal"/>
    <w:next w:val="Normal"/>
    <w:link w:val="Heading2Char"/>
    <w:uiPriority w:val="9"/>
    <w:unhideWhenUsed/>
    <w:qFormat/>
    <w:rsid w:val="009F4441"/>
    <w:pPr>
      <w:outlineLvl w:val="1"/>
    </w:pPr>
    <w:rPr>
      <w:rFonts w:eastAsia="Calibri"/>
      <w:color w:val="000080"/>
      <w:sz w:val="28"/>
      <w:szCs w:val="28"/>
    </w:rPr>
  </w:style>
  <w:style w:type="paragraph" w:styleId="Heading3">
    <w:name w:val="heading 3"/>
    <w:basedOn w:val="Normal"/>
    <w:next w:val="Normal"/>
    <w:link w:val="Heading3Char"/>
    <w:uiPriority w:val="9"/>
    <w:unhideWhenUsed/>
    <w:qFormat/>
    <w:rsid w:val="009F444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8C2136"/>
    <w:pPr>
      <w:outlineLvl w:val="3"/>
    </w:pPr>
    <w:rPr>
      <w:color w:val="00008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4441"/>
    <w:rPr>
      <w:rFonts w:ascii="Narkisim" w:eastAsia="Calibri" w:hAnsi="Narkisim" w:cs="Narkisim"/>
      <w:b/>
      <w:bCs/>
      <w:sz w:val="32"/>
      <w:szCs w:val="32"/>
      <w:u w:val="single"/>
    </w:rPr>
  </w:style>
  <w:style w:type="character" w:customStyle="1" w:styleId="Heading2Char">
    <w:name w:val="Heading 2 Char"/>
    <w:basedOn w:val="DefaultParagraphFont"/>
    <w:link w:val="Heading2"/>
    <w:uiPriority w:val="9"/>
    <w:rsid w:val="009F4441"/>
    <w:rPr>
      <w:rFonts w:ascii="Narkisim" w:eastAsia="Calibri" w:hAnsi="Narkisim" w:cs="Narkisim"/>
      <w:color w:val="000080"/>
      <w:sz w:val="28"/>
      <w:szCs w:val="28"/>
    </w:rPr>
  </w:style>
  <w:style w:type="paragraph" w:styleId="Title">
    <w:name w:val="Title"/>
    <w:basedOn w:val="Heading1"/>
    <w:next w:val="Normal"/>
    <w:link w:val="TitleChar"/>
    <w:uiPriority w:val="10"/>
    <w:qFormat/>
    <w:rsid w:val="009F4441"/>
    <w:pPr>
      <w:bidi w:val="0"/>
      <w:jc w:val="center"/>
    </w:pPr>
    <w:rPr>
      <w:b w:val="0"/>
      <w:bCs w:val="0"/>
      <w:sz w:val="48"/>
      <w:szCs w:val="48"/>
      <w:u w:val="none"/>
      <w:shd w:val="clear" w:color="auto" w:fill="FFFFFF"/>
    </w:rPr>
  </w:style>
  <w:style w:type="character" w:customStyle="1" w:styleId="TitleChar">
    <w:name w:val="Title Char"/>
    <w:basedOn w:val="DefaultParagraphFont"/>
    <w:link w:val="Title"/>
    <w:uiPriority w:val="10"/>
    <w:rsid w:val="009F4441"/>
    <w:rPr>
      <w:rFonts w:ascii="Narkisim" w:eastAsia="Calibri" w:hAnsi="Narkisim" w:cs="Narkisim"/>
      <w:sz w:val="48"/>
      <w:szCs w:val="48"/>
    </w:rPr>
  </w:style>
  <w:style w:type="paragraph" w:styleId="Subtitle">
    <w:name w:val="Subtitle"/>
    <w:basedOn w:val="Title"/>
    <w:next w:val="Normal"/>
    <w:link w:val="SubtitleChar"/>
    <w:uiPriority w:val="11"/>
    <w:qFormat/>
    <w:rsid w:val="009F4441"/>
    <w:pPr>
      <w:bidi/>
    </w:pPr>
    <w:rPr>
      <w:sz w:val="32"/>
      <w:szCs w:val="32"/>
    </w:rPr>
  </w:style>
  <w:style w:type="character" w:customStyle="1" w:styleId="SubtitleChar">
    <w:name w:val="Subtitle Char"/>
    <w:basedOn w:val="DefaultParagraphFont"/>
    <w:link w:val="Subtitle"/>
    <w:uiPriority w:val="11"/>
    <w:rsid w:val="009F4441"/>
    <w:rPr>
      <w:rFonts w:ascii="Narkisim" w:eastAsia="Calibri" w:hAnsi="Narkisim" w:cs="Narkisim"/>
      <w:sz w:val="32"/>
      <w:szCs w:val="32"/>
    </w:rPr>
  </w:style>
  <w:style w:type="character" w:customStyle="1" w:styleId="Heading3Char">
    <w:name w:val="Heading 3 Char"/>
    <w:basedOn w:val="DefaultParagraphFont"/>
    <w:link w:val="Heading3"/>
    <w:uiPriority w:val="9"/>
    <w:rsid w:val="009F4441"/>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9F44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4441"/>
    <w:rPr>
      <w:rFonts w:ascii="Narkisim" w:hAnsi="Narkisim" w:cs="Narkisim"/>
    </w:rPr>
  </w:style>
  <w:style w:type="paragraph" w:styleId="Footer">
    <w:name w:val="footer"/>
    <w:basedOn w:val="Normal"/>
    <w:link w:val="FooterChar"/>
    <w:uiPriority w:val="99"/>
    <w:unhideWhenUsed/>
    <w:rsid w:val="009F44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4441"/>
    <w:rPr>
      <w:rFonts w:ascii="Narkisim" w:hAnsi="Narkisim" w:cs="Narkisim"/>
    </w:rPr>
  </w:style>
  <w:style w:type="character" w:customStyle="1" w:styleId="Heading4Char">
    <w:name w:val="Heading 4 Char"/>
    <w:basedOn w:val="DefaultParagraphFont"/>
    <w:link w:val="Heading4"/>
    <w:uiPriority w:val="9"/>
    <w:rsid w:val="008C2136"/>
    <w:rPr>
      <w:rFonts w:ascii="Narkisim" w:hAnsi="Narkisim" w:cs="Narkisim"/>
      <w:color w:val="00008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de\AppData\Roaming\Microsoft\Templates\Shi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Shiur.dotx</Template>
  <TotalTime>87</TotalTime>
  <Pages>4</Pages>
  <Words>339</Words>
  <Characters>1935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Mordechai Djavaheri</dc:creator>
  <cp:keywords/>
  <dc:description/>
  <cp:lastModifiedBy>Mordechai Djavaheri</cp:lastModifiedBy>
  <cp:revision>22</cp:revision>
  <dcterms:created xsi:type="dcterms:W3CDTF">2018-10-23T17:53:00Z</dcterms:created>
  <dcterms:modified xsi:type="dcterms:W3CDTF">2018-10-23T19:36:00Z</dcterms:modified>
</cp:coreProperties>
</file>