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FBA49"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715A75E8" w14:textId="77777777" w:rsidR="009F4441" w:rsidRDefault="00192AE5" w:rsidP="009F4441">
      <w:pPr>
        <w:pStyle w:val="Subtitle"/>
        <w:rPr>
          <w:rtl/>
        </w:rPr>
      </w:pPr>
      <w:r>
        <w:rPr>
          <w:rFonts w:hint="cs"/>
          <w:rtl/>
        </w:rPr>
        <w:t>שיעור פתיחה</w:t>
      </w:r>
    </w:p>
    <w:p w14:paraId="4BF5B7F0" w14:textId="7E19F81E" w:rsidR="003C0881" w:rsidRDefault="004C15AD" w:rsidP="00192AE5">
      <w:pPr>
        <w:pStyle w:val="Heading1"/>
        <w:rPr>
          <w:rtl/>
        </w:rPr>
      </w:pPr>
      <w:bookmarkStart w:id="0" w:name="_Toc521478769"/>
      <w:r>
        <w:rPr>
          <w:rFonts w:hint="cs"/>
          <w:rtl/>
        </w:rPr>
        <w:t xml:space="preserve">תלמוד בבלי </w:t>
      </w:r>
      <w:r>
        <w:rPr>
          <w:rtl/>
        </w:rPr>
        <w:t>–</w:t>
      </w:r>
      <w:r>
        <w:rPr>
          <w:rFonts w:hint="cs"/>
          <w:rtl/>
        </w:rPr>
        <w:t xml:space="preserve"> סדר </w:t>
      </w:r>
      <w:bookmarkStart w:id="1" w:name="_GoBack"/>
      <w:bookmarkEnd w:id="1"/>
      <w:r w:rsidR="003C0881">
        <w:rPr>
          <w:rFonts w:hint="cs"/>
          <w:rtl/>
        </w:rPr>
        <w:t>נזיקין</w:t>
      </w:r>
    </w:p>
    <w:p w14:paraId="44A04994" w14:textId="4CC435DD" w:rsidR="003C0881" w:rsidRDefault="003C0881" w:rsidP="003C0881">
      <w:pPr>
        <w:pStyle w:val="Heading2"/>
        <w:rPr>
          <w:rtl/>
        </w:rPr>
      </w:pPr>
      <w:r>
        <w:rPr>
          <w:rFonts w:hint="cs"/>
          <w:rtl/>
        </w:rPr>
        <w:t>בבא בתרא קעה:</w:t>
      </w:r>
    </w:p>
    <w:p w14:paraId="54339033" w14:textId="417F8DEC" w:rsidR="003C0881" w:rsidRDefault="003C0881" w:rsidP="003C0881">
      <w:pPr>
        <w:rPr>
          <w:rtl/>
        </w:rPr>
      </w:pPr>
      <w:r>
        <w:rPr>
          <w:rtl/>
        </w:rPr>
        <w:t>ואמר רבי ישמעאל: הרוצה שיחכים - יעסוק בדיני ממונות, שאין לך מקצוע בת</w:t>
      </w:r>
      <w:r>
        <w:rPr>
          <w:rtl/>
        </w:rPr>
        <w:t>ורה יותר מהן, והן כמעיין הנובע</w:t>
      </w:r>
      <w:r>
        <w:rPr>
          <w:rtl/>
        </w:rPr>
        <w:t xml:space="preserve"> </w:t>
      </w:r>
    </w:p>
    <w:p w14:paraId="4901E36B" w14:textId="42488BCE" w:rsidR="006921C4" w:rsidRDefault="006921C4" w:rsidP="006921C4">
      <w:pPr>
        <w:pStyle w:val="Heading2"/>
      </w:pPr>
      <w:r w:rsidRPr="006921C4">
        <w:rPr>
          <w:rtl/>
        </w:rPr>
        <w:t>הקדמה לספר המאור</w:t>
      </w:r>
    </w:p>
    <w:p w14:paraId="139E9FD6" w14:textId="51998339" w:rsidR="003C0881" w:rsidRPr="003C0881" w:rsidRDefault="00B75E9F" w:rsidP="003C0881">
      <w:pPr>
        <w:rPr>
          <w:rtl/>
        </w:rPr>
      </w:pPr>
      <w:r w:rsidRPr="00B75E9F">
        <w:rPr>
          <w:rtl/>
        </w:rPr>
        <w:t>וחלקתי הספר הזה לשני חלקים החלק האחד בסדרי נזיקים ונשים קראתיו בשם המאור הגדול בעבור כי נקראו דיני ממונות מקצוע גדול בתורה כאותה ששנינו א"ר ישמעאל הרוצה שיחכם יעסוק בדיני ממונות שאין מקצוע בתורה גדול מהן שהן כמעין הנובע: והחלק השני בסדר מועד וחברתי אליו מסכת ברכות בתחילתו ומסכת שחיטת חולין בסופו קראתיו בשם המאור הקטן יען כי מועדי ה' מקראי קודש על פי קדוש החדש שהוא המאור הקטן</w:t>
      </w:r>
    </w:p>
    <w:p w14:paraId="366A3AFF" w14:textId="57EA20B6" w:rsidR="00192AE5" w:rsidRDefault="00192AE5" w:rsidP="00192AE5">
      <w:pPr>
        <w:pStyle w:val="Heading1"/>
        <w:rPr>
          <w:rtl/>
        </w:rPr>
      </w:pPr>
      <w:r>
        <w:rPr>
          <w:rFonts w:hint="cs"/>
          <w:rtl/>
        </w:rPr>
        <w:t>מלוה הכתובה בתורה</w:t>
      </w:r>
      <w:bookmarkEnd w:id="0"/>
    </w:p>
    <w:p w14:paraId="246609E7" w14:textId="28756E62" w:rsidR="00192AE5" w:rsidRDefault="00192AE5" w:rsidP="00192AE5">
      <w:pPr>
        <w:pStyle w:val="Heading2"/>
        <w:rPr>
          <w:rtl/>
        </w:rPr>
      </w:pPr>
      <w:r>
        <w:rPr>
          <w:rFonts w:hint="cs"/>
          <w:rtl/>
        </w:rPr>
        <w:t>סנהדרין ג.</w:t>
      </w:r>
    </w:p>
    <w:p w14:paraId="3C185D93" w14:textId="5E61019E" w:rsidR="00FE6EBD" w:rsidRPr="00FE6EBD" w:rsidRDefault="00FE6EBD" w:rsidP="00FE6EBD">
      <w:pPr>
        <w:pStyle w:val="Heading2"/>
        <w:rPr>
          <w:rtl/>
        </w:rPr>
      </w:pPr>
      <w:r>
        <w:rPr>
          <w:rtl/>
        </w:rPr>
        <w:t>בב</w:t>
      </w:r>
      <w:r>
        <w:rPr>
          <w:rFonts w:hint="cs"/>
          <w:rtl/>
        </w:rPr>
        <w:t>א קמא לד.</w:t>
      </w:r>
    </w:p>
    <w:p w14:paraId="79969E68" w14:textId="77777777" w:rsidR="00192AE5" w:rsidRPr="00E21DFF" w:rsidRDefault="00192AE5" w:rsidP="00192AE5">
      <w:pPr>
        <w:pStyle w:val="Heading2"/>
        <w:rPr>
          <w:rtl/>
        </w:rPr>
      </w:pPr>
      <w:r w:rsidRPr="00E21DFF">
        <w:rPr>
          <w:rtl/>
        </w:rPr>
        <w:t>מאירי בבא קמא ע:</w:t>
      </w:r>
    </w:p>
    <w:p w14:paraId="22480487" w14:textId="07A35047" w:rsidR="00192AE5" w:rsidRDefault="00192AE5" w:rsidP="00192AE5">
      <w:r w:rsidRPr="00E21DFF">
        <w:rPr>
          <w:rtl/>
        </w:rPr>
        <w:t>כלל תדע שדבר זה אינו שאע"פ שאין בית דין מחייבין בכך כל שעשה הוא מעצמו מיהא מכירה היא אתנן אסרה תורה ואפילו בא על אמו והרי בא על אמו שהוא חייב מיתה ואלו תבעה אמו אתננה בפנינו אין מחייבין אותו שאין אדם מת ומשלם ואעפ"כ אם נתנו לה בלא הכרח בית דין חל עליו שם אתנן ונאסר</w:t>
      </w:r>
    </w:p>
    <w:p w14:paraId="1F4B57D6" w14:textId="572D910D" w:rsidR="00FE6EBD" w:rsidRDefault="00FE6EBD" w:rsidP="00FE6EBD">
      <w:pPr>
        <w:pStyle w:val="Heading2"/>
        <w:rPr>
          <w:rtl/>
        </w:rPr>
      </w:pPr>
      <w:r>
        <w:rPr>
          <w:rFonts w:hint="cs"/>
          <w:rtl/>
        </w:rPr>
        <w:t>בבא קמא ח.</w:t>
      </w:r>
    </w:p>
    <w:p w14:paraId="0A2278AB" w14:textId="4CFFFA81" w:rsidR="00FE6EBD" w:rsidRDefault="00FE6EBD" w:rsidP="00FE6EBD">
      <w:pPr>
        <w:pStyle w:val="Heading2"/>
        <w:rPr>
          <w:rFonts w:hint="cs"/>
          <w:rtl/>
        </w:rPr>
      </w:pPr>
      <w:r>
        <w:rPr>
          <w:rFonts w:hint="cs"/>
          <w:rtl/>
        </w:rPr>
        <w:t>תוספות בבא קמא ח. ד"ה כולן</w:t>
      </w:r>
    </w:p>
    <w:p w14:paraId="763392C7" w14:textId="30C686BA" w:rsidR="00E1446B" w:rsidRPr="00E1446B" w:rsidRDefault="00FE6EBD" w:rsidP="00E1446B">
      <w:pPr>
        <w:pStyle w:val="Heading2"/>
      </w:pPr>
      <w:r>
        <w:rPr>
          <w:rFonts w:hint="cs"/>
          <w:rtl/>
        </w:rPr>
        <w:t>נימוקי יוסף בבא קמא ב:</w:t>
      </w:r>
    </w:p>
    <w:p w14:paraId="3632C474" w14:textId="4B2B4E28" w:rsidR="00FE6EBD" w:rsidRDefault="00FE6EBD" w:rsidP="00FE6EBD">
      <w:pPr>
        <w:pStyle w:val="Heading2"/>
      </w:pPr>
      <w:r>
        <w:rPr>
          <w:rFonts w:hint="cs"/>
          <w:rtl/>
        </w:rPr>
        <w:t>מנחת חינוך נז:טו</w:t>
      </w:r>
    </w:p>
    <w:p w14:paraId="57624466" w14:textId="5E1B2078" w:rsidR="00E1446B" w:rsidRPr="00E1446B" w:rsidRDefault="00E1446B" w:rsidP="00E1446B">
      <w:pPr>
        <w:pStyle w:val="Heading2"/>
        <w:rPr>
          <w:rFonts w:hint="cs"/>
          <w:rtl/>
        </w:rPr>
      </w:pPr>
      <w:r>
        <w:rPr>
          <w:rFonts w:hint="cs"/>
          <w:rtl/>
        </w:rPr>
        <w:t>רמב"ם הלכות מלוה ולוה כו:י</w:t>
      </w:r>
    </w:p>
    <w:p w14:paraId="3FE2758D" w14:textId="77777777" w:rsidR="00192AE5" w:rsidRDefault="00192AE5" w:rsidP="00192AE5">
      <w:pPr>
        <w:pStyle w:val="Heading4"/>
        <w:rPr>
          <w:rtl/>
        </w:rPr>
      </w:pPr>
      <w:r>
        <w:rPr>
          <w:rFonts w:hint="cs"/>
          <w:rtl/>
        </w:rPr>
        <w:t>ארץ הצבי עמ' רד</w:t>
      </w:r>
    </w:p>
    <w:p w14:paraId="6DC47923" w14:textId="77777777" w:rsidR="00192AE5" w:rsidRDefault="00192AE5" w:rsidP="00192AE5">
      <w:pPr>
        <w:pStyle w:val="Heading4"/>
      </w:pPr>
      <w:r w:rsidRPr="00797241">
        <w:rPr>
          <w:rtl/>
        </w:rPr>
        <w:t>גינת אגוז סימן נ</w:t>
      </w:r>
    </w:p>
    <w:p w14:paraId="25682888" w14:textId="77777777" w:rsidR="00192AE5" w:rsidRDefault="00192AE5" w:rsidP="00192AE5">
      <w:pPr>
        <w:pStyle w:val="Heading1"/>
        <w:rPr>
          <w:rtl/>
        </w:rPr>
      </w:pPr>
      <w:bookmarkStart w:id="2" w:name="_Toc521479613"/>
      <w:r w:rsidRPr="00DA3E39">
        <w:rPr>
          <w:rFonts w:hint="cs"/>
          <w:rtl/>
        </w:rPr>
        <w:t>שעיבודא</w:t>
      </w:r>
      <w:r>
        <w:rPr>
          <w:rFonts w:hint="cs"/>
          <w:rtl/>
        </w:rPr>
        <w:t xml:space="preserve"> דאורייתא</w:t>
      </w:r>
      <w:bookmarkEnd w:id="2"/>
    </w:p>
    <w:p w14:paraId="27E7A3C7" w14:textId="77777777" w:rsidR="00192AE5" w:rsidRDefault="00192AE5" w:rsidP="00192AE5">
      <w:pPr>
        <w:pStyle w:val="Heading2"/>
        <w:rPr>
          <w:rtl/>
        </w:rPr>
      </w:pPr>
      <w:r>
        <w:rPr>
          <w:rtl/>
        </w:rPr>
        <w:t xml:space="preserve">קידושין יג: </w:t>
      </w:r>
    </w:p>
    <w:p w14:paraId="7C82CFDF" w14:textId="77777777" w:rsidR="00192AE5" w:rsidRDefault="00192AE5" w:rsidP="00192AE5">
      <w:pPr>
        <w:pStyle w:val="Heading2"/>
        <w:rPr>
          <w:rtl/>
        </w:rPr>
      </w:pPr>
      <w:r w:rsidRPr="003C4DCE">
        <w:rPr>
          <w:rtl/>
        </w:rPr>
        <w:t>תוס</w:t>
      </w:r>
      <w:r>
        <w:rPr>
          <w:rFonts w:hint="cs"/>
          <w:rtl/>
        </w:rPr>
        <w:t>פות</w:t>
      </w:r>
      <w:r>
        <w:rPr>
          <w:rtl/>
        </w:rPr>
        <w:t xml:space="preserve"> </w:t>
      </w:r>
      <w:r>
        <w:rPr>
          <w:rFonts w:hint="cs"/>
          <w:rtl/>
        </w:rPr>
        <w:t>קידושין יג:</w:t>
      </w:r>
    </w:p>
    <w:p w14:paraId="416DA243" w14:textId="77777777" w:rsidR="00192AE5" w:rsidRDefault="00192AE5" w:rsidP="00192AE5">
      <w:pPr>
        <w:pStyle w:val="Heading2"/>
        <w:rPr>
          <w:rtl/>
        </w:rPr>
      </w:pPr>
      <w:r>
        <w:rPr>
          <w:rtl/>
        </w:rPr>
        <w:t>ש"ך חושן משפט</w:t>
      </w:r>
      <w:r>
        <w:rPr>
          <w:rFonts w:hint="cs"/>
          <w:rtl/>
        </w:rPr>
        <w:t xml:space="preserve"> לט:ב</w:t>
      </w:r>
      <w:r w:rsidRPr="003C4DCE">
        <w:rPr>
          <w:rtl/>
        </w:rPr>
        <w:t xml:space="preserve"> </w:t>
      </w:r>
    </w:p>
    <w:p w14:paraId="619F2459" w14:textId="77777777" w:rsidR="009D6598" w:rsidRPr="00B96D97" w:rsidRDefault="009D6598" w:rsidP="009D6598">
      <w:pPr>
        <w:pStyle w:val="Heading1"/>
        <w:rPr>
          <w:rtl/>
        </w:rPr>
      </w:pPr>
      <w:bookmarkStart w:id="3" w:name="_Toc521478052"/>
      <w:bookmarkStart w:id="4" w:name="_Hlk508291798"/>
      <w:r>
        <w:rPr>
          <w:rFonts w:hint="cs"/>
          <w:rtl/>
        </w:rPr>
        <w:lastRenderedPageBreak/>
        <w:t xml:space="preserve">בית דין </w:t>
      </w:r>
      <w:r>
        <w:rPr>
          <w:rtl/>
        </w:rPr>
        <w:t>–</w:t>
      </w:r>
      <w:r>
        <w:rPr>
          <w:rFonts w:hint="cs"/>
          <w:rtl/>
        </w:rPr>
        <w:t xml:space="preserve"> </w:t>
      </w:r>
      <w:r w:rsidRPr="00045CEB">
        <w:rPr>
          <w:rFonts w:hint="cs"/>
          <w:rtl/>
        </w:rPr>
        <w:t>שלא</w:t>
      </w:r>
      <w:r w:rsidRPr="00B96D97">
        <w:rPr>
          <w:rFonts w:hint="cs"/>
          <w:rtl/>
        </w:rPr>
        <w:t xml:space="preserve"> להעניש בשבת</w:t>
      </w:r>
      <w:bookmarkEnd w:id="3"/>
    </w:p>
    <w:p w14:paraId="31424C7D" w14:textId="77777777" w:rsidR="009D6598" w:rsidRDefault="009D6598" w:rsidP="009D6598">
      <w:pPr>
        <w:pStyle w:val="Heading2"/>
      </w:pPr>
      <w:r w:rsidRPr="5316B9CB">
        <w:rPr>
          <w:rtl/>
        </w:rPr>
        <w:t>סנהדרין</w:t>
      </w:r>
    </w:p>
    <w:p w14:paraId="577D2F4D" w14:textId="77777777" w:rsidR="009D6598" w:rsidRDefault="009D6598" w:rsidP="009D6598">
      <w:pPr>
        <w:pStyle w:val="Heading2"/>
        <w:rPr>
          <w:rtl/>
        </w:rPr>
      </w:pPr>
      <w:r w:rsidRPr="5316B9CB">
        <w:rPr>
          <w:rtl/>
        </w:rPr>
        <w:t>רמב"ם הלכות שבת כד:ז</w:t>
      </w:r>
    </w:p>
    <w:p w14:paraId="788C7948" w14:textId="73CE6B5C" w:rsidR="009D6598" w:rsidRDefault="009D6598" w:rsidP="009D6598">
      <w:pPr>
        <w:rPr>
          <w:rtl/>
        </w:rPr>
      </w:pPr>
      <w:r w:rsidRPr="5316B9CB">
        <w:rPr>
          <w:rtl/>
        </w:rPr>
        <w:t>אין עונשין בשבת אף על פי שהעונש מצות עשה אינה דוחה שבת, כיצד הרי שנתחייב בבית דין מלקות או מיתה אין מלקין אותו ואין ממיתין אותו בשבת שנאמר +שמות ל"ה+ לא תבערו אש בכל מושבותיכם ביום השבת זו אזהרה לבית דין שלא ישרפו בשבת מי שנתחייב שריפה והוא הדין לשאר עונשין</w:t>
      </w:r>
      <w:r w:rsidRPr="5316B9CB">
        <w:t>.</w:t>
      </w:r>
    </w:p>
    <w:p w14:paraId="115FDAFC" w14:textId="77777777" w:rsidR="003503C5" w:rsidRDefault="003503C5" w:rsidP="00DC2752">
      <w:pPr>
        <w:pStyle w:val="Heading2"/>
        <w:rPr>
          <w:rtl/>
        </w:rPr>
      </w:pPr>
      <w:r>
        <w:rPr>
          <w:rFonts w:hint="cs"/>
          <w:rtl/>
        </w:rPr>
        <w:t>רמב"ם ספר המצוות לא תעשה שכב</w:t>
      </w:r>
    </w:p>
    <w:p w14:paraId="50F991EC" w14:textId="5AC71112" w:rsidR="003503C5" w:rsidRPr="001E3830" w:rsidRDefault="003503C5" w:rsidP="003503C5">
      <w:pPr>
        <w:rPr>
          <w:rtl/>
        </w:rPr>
      </w:pPr>
      <w:r w:rsidRPr="006064D9">
        <w:rPr>
          <w:rtl/>
        </w:rPr>
        <w:t>והמצוה השכ"א היא שהזהירנו שלא להלך חוץ לתחום המדינה בשבת והוא אמרו (בשלח יו) אל יצא איש ממקומו ביום השביעי. ובאה הקבלה שגבול ההליכה שהיא אסורה מה שנוסף על אלפיים אמה חוץ מן המדינה ואפילו אמה אחת. וללכת אלפיים אמה לכל צד מותר. ולשון מכילתא אל יצא איש ממקומו אלו אלפיים אמה. ובגמר עירובין (יז ב הוב' סל"ת י) אמרו לוקין על איסורי תחומין דבר תורה. ובמסכתא ההיא התבארו משפטי מצוה זו:</w:t>
      </w:r>
    </w:p>
    <w:p w14:paraId="4015B6F8" w14:textId="77777777" w:rsidR="009D6598" w:rsidRPr="00B96D97" w:rsidRDefault="009D6598" w:rsidP="009D6598">
      <w:pPr>
        <w:pStyle w:val="Heading2"/>
        <w:rPr>
          <w:shd w:val="clear" w:color="auto" w:fill="FFFFFF"/>
          <w:rtl/>
        </w:rPr>
      </w:pPr>
      <w:r w:rsidRPr="00B96D97">
        <w:rPr>
          <w:rFonts w:hint="cs"/>
          <w:shd w:val="clear" w:color="auto" w:fill="FFFFFF"/>
          <w:rtl/>
        </w:rPr>
        <w:t xml:space="preserve">גור אריה ויקרא יט:כ </w:t>
      </w:r>
    </w:p>
    <w:p w14:paraId="1C190CA8" w14:textId="77777777" w:rsidR="009D6598" w:rsidRPr="00B96D97" w:rsidRDefault="009D6598" w:rsidP="009D6598">
      <w:pPr>
        <w:rPr>
          <w:rtl/>
        </w:rPr>
      </w:pPr>
      <w:r w:rsidRPr="00B96D97">
        <w:rPr>
          <w:rtl/>
        </w:rPr>
        <w:t>תהא בקריאה שהדיינים וכו'. ויראה לי מה שנקרא מלקות "בקורת", ולא כתב שם המלקות בשם 'מלקות', מפני כי עיקר המלקות הוא הקריאה, שמכין אותו ואומרים לו תוכחות ודברים קשים, וזהו עיקר (התוכחה) [המלקות]. ולפיכך נקרא המלקות על שם הקריאה, שמקריא לו גדול הדיינין (כריתות יא.). ולפיכך לא היה הקריאה רק במלקות, ולא במיתה, מפני שבמלקות היו מיסרין אותו וקוראין לו "אם לא תשמור לעשות" (דברים כח, נח), כאדם המייסר את בנו שלא יעשה עוד, ואומר לו תוכחות, ולא שייך זה במיתה, לפיכך שם מלקות "בקורת":</w:t>
      </w:r>
    </w:p>
    <w:p w14:paraId="0807443A" w14:textId="77777777" w:rsidR="009D6598" w:rsidRPr="00B96D97" w:rsidRDefault="009D6598" w:rsidP="009D6598">
      <w:pPr>
        <w:pStyle w:val="Heading2"/>
        <w:rPr>
          <w:shd w:val="clear" w:color="auto" w:fill="FFFFFF"/>
          <w:rtl/>
        </w:rPr>
      </w:pPr>
      <w:r w:rsidRPr="00B96D97">
        <w:rPr>
          <w:rFonts w:hint="cs"/>
          <w:shd w:val="clear" w:color="auto" w:fill="FFFFFF"/>
          <w:rtl/>
        </w:rPr>
        <w:t>שלחן ערוך אורח חיים שלט:ד</w:t>
      </w:r>
    </w:p>
    <w:p w14:paraId="19D12B95" w14:textId="77777777" w:rsidR="009D6598" w:rsidRPr="00B96D97" w:rsidRDefault="009D6598" w:rsidP="009D6598">
      <w:pPr>
        <w:rPr>
          <w:sz w:val="18"/>
          <w:szCs w:val="18"/>
          <w:rtl/>
        </w:rPr>
      </w:pPr>
      <w:r w:rsidRPr="00B96D97">
        <w:rPr>
          <w:rtl/>
        </w:rPr>
        <w:t>אין דנין</w:t>
      </w:r>
      <w:r w:rsidRPr="00B96D97">
        <w:rPr>
          <w:sz w:val="18"/>
          <w:szCs w:val="18"/>
          <w:rtl/>
        </w:rPr>
        <w:t>. הגה: ולכן אסור לתפוס ולהכניס לבית הסוהר מי שנתחייב איזה עונש כדי שלא יברח, וכל שכן שאסור להלקותו דהוי בכלל דין; ואם יברח, אין עלינו כלום (ב"י סוף סימן רס"ג בשם שבולי הלקט)</w:t>
      </w:r>
      <w:r w:rsidRPr="00B96D97">
        <w:rPr>
          <w:sz w:val="18"/>
          <w:szCs w:val="18"/>
          <w:vertAlign w:val="superscript"/>
          <w:rtl/>
        </w:rPr>
        <w:footnoteReference w:id="1"/>
      </w:r>
    </w:p>
    <w:p w14:paraId="0881A3B0" w14:textId="77777777" w:rsidR="009D6598" w:rsidRPr="00B96D97" w:rsidRDefault="009D6598" w:rsidP="009D6598">
      <w:pPr>
        <w:pStyle w:val="Heading2"/>
        <w:rPr>
          <w:shd w:val="clear" w:color="auto" w:fill="FFFFFF"/>
          <w:rtl/>
        </w:rPr>
      </w:pPr>
      <w:r>
        <w:rPr>
          <w:rFonts w:hint="cs"/>
          <w:shd w:val="clear" w:color="auto" w:fill="FFFFFF"/>
          <w:rtl/>
        </w:rPr>
        <w:t>מגן אברהם שלט:</w:t>
      </w:r>
      <w:r w:rsidRPr="00B96D97">
        <w:rPr>
          <w:rFonts w:hint="cs"/>
          <w:shd w:val="clear" w:color="auto" w:fill="FFFFFF"/>
          <w:rtl/>
        </w:rPr>
        <w:t>ג</w:t>
      </w:r>
    </w:p>
    <w:p w14:paraId="70713F06" w14:textId="3EDE5E24" w:rsidR="009D6598" w:rsidRPr="00B96D97" w:rsidRDefault="009D6598" w:rsidP="009D6598">
      <w:pPr>
        <w:rPr>
          <w:rtl/>
        </w:rPr>
      </w:pPr>
      <w:r w:rsidRPr="00B96D97">
        <w:rPr>
          <w:rtl/>
        </w:rPr>
        <w:t>אין דנין</w:t>
      </w:r>
      <w:r w:rsidRPr="00B96D97">
        <w:rPr>
          <w:rFonts w:hint="cs"/>
          <w:rtl/>
        </w:rPr>
        <w:t>...</w:t>
      </w:r>
      <w:r w:rsidRPr="00B96D97">
        <w:rPr>
          <w:rtl/>
        </w:rPr>
        <w:t xml:space="preserve"> כתב הרמב"ם פכ"ד אין עונשין בשבת שאע"פ שהעונש מ"ע אין דוחה שבת כיצד הרי שנתחייב מיתה או מלקות אין מלקין שנא' לא תבערו אש וה"ה לשאר עונשין וכ' המ"מ שמנאה הרמב"ם במנין המצות ע"כ ובאמת במנין המצות סי' שכ"ב משמע דוקא בדבר שיש בו חילול שבת אסור מדאורייתא וכ"מ בגמ' שבת דף ק"ו גבי הבערה ע"ש ואפשר דבמלקות נמי איכא חילול שבת כגון שעושה חבור' וצ"ע ואפשר דמרבוי דקרא דבכל מושבותיכם נפקא לן שאין דנין כלל וצ"ע בסנה' דף ל"ה משמע דוקא בדבר שיש בו חילול שבת וכ"מ בתו' שם ודיני ממונו' אין דנין גזיר' שמא יכתוב</w:t>
      </w:r>
      <w:r w:rsidRPr="00B96D97">
        <w:rPr>
          <w:rFonts w:hint="cs"/>
          <w:rtl/>
        </w:rPr>
        <w:t>...</w:t>
      </w:r>
    </w:p>
    <w:p w14:paraId="438BA9D6" w14:textId="77777777" w:rsidR="009D6598" w:rsidRPr="00B96D97" w:rsidRDefault="009D6598" w:rsidP="009D6598">
      <w:pPr>
        <w:pStyle w:val="Heading2"/>
        <w:rPr>
          <w:shd w:val="clear" w:color="auto" w:fill="FFFFFF"/>
          <w:rtl/>
        </w:rPr>
      </w:pPr>
      <w:r w:rsidRPr="00B96D97">
        <w:rPr>
          <w:rFonts w:hint="cs"/>
          <w:shd w:val="clear" w:color="auto" w:fill="FFFFFF"/>
          <w:rtl/>
        </w:rPr>
        <w:t>הערות רבי עקיבא איגר שם</w:t>
      </w:r>
    </w:p>
    <w:p w14:paraId="5FFF5CDE" w14:textId="77777777" w:rsidR="009D6598" w:rsidRPr="00B96D97" w:rsidRDefault="009D6598" w:rsidP="009D6598">
      <w:pPr>
        <w:rPr>
          <w:rtl/>
        </w:rPr>
      </w:pPr>
      <w:r w:rsidRPr="00B96D97">
        <w:rPr>
          <w:rtl/>
        </w:rPr>
        <w:t>כדי שלא יברח. ואם רצה לברוח לעגן אשתו מותר לחבשו תשו' שבו"י ח"א סי' י"ד:</w:t>
      </w:r>
    </w:p>
    <w:p w14:paraId="629AA097" w14:textId="77777777" w:rsidR="009D6598" w:rsidRDefault="009D6598" w:rsidP="009D6598">
      <w:pPr>
        <w:rPr>
          <w:rtl/>
        </w:rPr>
      </w:pPr>
      <w:r w:rsidRPr="00B96D97">
        <w:rPr>
          <w:rtl/>
        </w:rPr>
        <w:t>וכל שכן שאסור להלקותו. ומ"מ באומר סוכה שאיני יושב דהדין דמכין אותו עד שתצא נפשו לקיים העשה ולא בדרך עונש י"ל דמותר בשבת משבצות זהב בפתיחה להל' שבת:</w:t>
      </w:r>
    </w:p>
    <w:p w14:paraId="610FA8EE" w14:textId="77777777" w:rsidR="009D6598" w:rsidRDefault="009D6598" w:rsidP="009D6598">
      <w:pPr>
        <w:pStyle w:val="Heading2"/>
        <w:rPr>
          <w:rtl/>
        </w:rPr>
      </w:pPr>
      <w:r w:rsidRPr="5316B9CB">
        <w:rPr>
          <w:rtl/>
        </w:rPr>
        <w:t>שו"ת אבני נזר חלק אורח חיים סימן מו</w:t>
      </w:r>
    </w:p>
    <w:p w14:paraId="53DB8E80" w14:textId="7291B049" w:rsidR="00A34938" w:rsidRPr="00A34938" w:rsidRDefault="009D6598" w:rsidP="00A34938">
      <w:pPr>
        <w:pStyle w:val="Heading2"/>
        <w:rPr>
          <w:rtl/>
        </w:rPr>
      </w:pPr>
      <w:r w:rsidRPr="5316B9CB">
        <w:rPr>
          <w:rtl/>
        </w:rPr>
        <w:t>שו"ת אבני נזר חלק אורח חיים סימן רכח</w:t>
      </w:r>
    </w:p>
    <w:p w14:paraId="4D5B03DB" w14:textId="77777777" w:rsidR="009D6598" w:rsidRPr="00B96D97" w:rsidRDefault="009D6598" w:rsidP="009D6598">
      <w:pPr>
        <w:pStyle w:val="Heading2"/>
        <w:rPr>
          <w:shd w:val="clear" w:color="auto" w:fill="FFFFFF"/>
          <w:rtl/>
        </w:rPr>
      </w:pPr>
      <w:r w:rsidRPr="00B96D97">
        <w:rPr>
          <w:rFonts w:hint="cs"/>
          <w:shd w:val="clear" w:color="auto" w:fill="FFFFFF"/>
          <w:rtl/>
        </w:rPr>
        <w:lastRenderedPageBreak/>
        <w:t>ארץ הצבי עמ' רסז</w:t>
      </w:r>
    </w:p>
    <w:p w14:paraId="37AFD79A" w14:textId="77777777" w:rsidR="009D6598" w:rsidRDefault="009D6598" w:rsidP="009D6598">
      <w:pPr>
        <w:pStyle w:val="Heading2"/>
        <w:rPr>
          <w:shd w:val="clear" w:color="auto" w:fill="FFFFFF"/>
        </w:rPr>
      </w:pPr>
      <w:r w:rsidRPr="00B96D97">
        <w:rPr>
          <w:rFonts w:hint="cs"/>
          <w:shd w:val="clear" w:color="auto" w:fill="FFFFFF"/>
          <w:rtl/>
        </w:rPr>
        <w:t>דברי הרב עמ' קעב</w:t>
      </w:r>
    </w:p>
    <w:p w14:paraId="4287B5B8" w14:textId="01F19FC4" w:rsidR="00A34938" w:rsidRDefault="00533FC6" w:rsidP="00A34938">
      <w:pPr>
        <w:pStyle w:val="Heading2"/>
        <w:rPr>
          <w:rtl/>
        </w:rPr>
      </w:pPr>
      <w:hyperlink r:id="rId6" w:history="1">
        <w:r w:rsidR="00A34938" w:rsidRPr="00533FC6">
          <w:rPr>
            <w:rStyle w:val="Hyperlink"/>
            <w:rFonts w:hint="cs"/>
            <w:rtl/>
          </w:rPr>
          <w:t>הרמב"ם והמכילתא דרשב"י</w:t>
        </w:r>
      </w:hyperlink>
      <w:r w:rsidR="00A34938">
        <w:rPr>
          <w:rFonts w:hint="cs"/>
          <w:rtl/>
        </w:rPr>
        <w:t xml:space="preserve"> (כשר) </w:t>
      </w:r>
      <w:r w:rsidR="0019248C">
        <w:rPr>
          <w:rFonts w:hint="cs"/>
          <w:rtl/>
        </w:rPr>
        <w:t xml:space="preserve">סימן סב </w:t>
      </w:r>
      <w:r>
        <w:rPr>
          <w:rFonts w:hint="cs"/>
          <w:rtl/>
        </w:rPr>
        <w:t>הלכות שבת כד:ז</w:t>
      </w:r>
    </w:p>
    <w:p w14:paraId="3D4B6485" w14:textId="11E90B1F" w:rsidR="00533FC6" w:rsidRDefault="00533FC6" w:rsidP="00533FC6">
      <w:pPr>
        <w:rPr>
          <w:noProof/>
          <w:rtl/>
        </w:rPr>
      </w:pPr>
      <w:r w:rsidRPr="00533FC6">
        <w:lastRenderedPageBreak/>
        <w:drawing>
          <wp:inline distT="0" distB="0" distL="0" distR="0" wp14:anchorId="340674FD" wp14:editId="76C2EE0A">
            <wp:extent cx="5636895" cy="82296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36895" cy="8229600"/>
                    </a:xfrm>
                    <a:prstGeom prst="rect">
                      <a:avLst/>
                    </a:prstGeom>
                  </pic:spPr>
                </pic:pic>
              </a:graphicData>
            </a:graphic>
          </wp:inline>
        </w:drawing>
      </w:r>
      <w:r w:rsidRPr="00533FC6">
        <w:rPr>
          <w:noProof/>
        </w:rPr>
        <w:t xml:space="preserve"> </w:t>
      </w:r>
      <w:r w:rsidRPr="00533FC6">
        <w:lastRenderedPageBreak/>
        <w:drawing>
          <wp:inline distT="0" distB="0" distL="0" distR="0" wp14:anchorId="5E1AE2CD" wp14:editId="487BB2AE">
            <wp:extent cx="4937760"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37760" cy="8229600"/>
                    </a:xfrm>
                    <a:prstGeom prst="rect">
                      <a:avLst/>
                    </a:prstGeom>
                  </pic:spPr>
                </pic:pic>
              </a:graphicData>
            </a:graphic>
          </wp:inline>
        </w:drawing>
      </w:r>
      <w:r w:rsidRPr="00533FC6">
        <w:rPr>
          <w:noProof/>
        </w:rPr>
        <w:t xml:space="preserve"> </w:t>
      </w:r>
      <w:r w:rsidRPr="00533FC6">
        <w:lastRenderedPageBreak/>
        <w:drawing>
          <wp:inline distT="0" distB="0" distL="0" distR="0" wp14:anchorId="3E283B24" wp14:editId="287199B0">
            <wp:extent cx="4933315" cy="82296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33315" cy="8229600"/>
                    </a:xfrm>
                    <a:prstGeom prst="rect">
                      <a:avLst/>
                    </a:prstGeom>
                  </pic:spPr>
                </pic:pic>
              </a:graphicData>
            </a:graphic>
          </wp:inline>
        </w:drawing>
      </w:r>
      <w:r w:rsidR="00B76815" w:rsidRPr="00B76815">
        <w:rPr>
          <w:noProof/>
        </w:rPr>
        <w:t xml:space="preserve"> </w:t>
      </w:r>
      <w:r w:rsidR="00B76815" w:rsidRPr="00B76815">
        <w:lastRenderedPageBreak/>
        <w:drawing>
          <wp:inline distT="0" distB="0" distL="0" distR="0" wp14:anchorId="5B4E522E" wp14:editId="66B391B0">
            <wp:extent cx="4937760"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37760" cy="8229600"/>
                    </a:xfrm>
                    <a:prstGeom prst="rect">
                      <a:avLst/>
                    </a:prstGeom>
                  </pic:spPr>
                </pic:pic>
              </a:graphicData>
            </a:graphic>
          </wp:inline>
        </w:drawing>
      </w:r>
    </w:p>
    <w:p w14:paraId="54F24717" w14:textId="41431E60" w:rsidR="00B76815" w:rsidRPr="00533FC6" w:rsidRDefault="00486011" w:rsidP="00533FC6">
      <w:pPr>
        <w:rPr>
          <w:rFonts w:hint="cs"/>
        </w:rPr>
      </w:pPr>
      <w:r w:rsidRPr="00486011">
        <w:lastRenderedPageBreak/>
        <w:drawing>
          <wp:inline distT="0" distB="0" distL="0" distR="0" wp14:anchorId="46F1172D" wp14:editId="2A12EC12">
            <wp:extent cx="5777865"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77865" cy="8229600"/>
                    </a:xfrm>
                    <a:prstGeom prst="rect">
                      <a:avLst/>
                    </a:prstGeom>
                  </pic:spPr>
                </pic:pic>
              </a:graphicData>
            </a:graphic>
          </wp:inline>
        </w:drawing>
      </w:r>
    </w:p>
    <w:bookmarkEnd w:id="4"/>
    <w:p w14:paraId="25F6AEBF" w14:textId="66DA460D" w:rsidR="000C25FD" w:rsidRDefault="009D01D4" w:rsidP="009D01D4">
      <w:pPr>
        <w:pStyle w:val="Heading1"/>
        <w:rPr>
          <w:rtl/>
        </w:rPr>
      </w:pPr>
      <w:r>
        <w:rPr>
          <w:rFonts w:hint="cs"/>
          <w:rtl/>
        </w:rPr>
        <w:lastRenderedPageBreak/>
        <w:t>מודה בקנס פטור</w:t>
      </w:r>
    </w:p>
    <w:p w14:paraId="5EBE5F5A" w14:textId="4E570E0A" w:rsidR="009D01D4" w:rsidRDefault="009D01D4" w:rsidP="009D01D4">
      <w:pPr>
        <w:pStyle w:val="Heading2"/>
      </w:pPr>
      <w:r>
        <w:rPr>
          <w:rFonts w:hint="cs"/>
          <w:rtl/>
        </w:rPr>
        <w:t>תוספות כתובות לג:</w:t>
      </w:r>
    </w:p>
    <w:p w14:paraId="36FEF791" w14:textId="77777777" w:rsidR="00D81E78" w:rsidRDefault="00D81E78" w:rsidP="00D81E78">
      <w:pPr>
        <w:pStyle w:val="Heading1"/>
        <w:rPr>
          <w:rtl/>
        </w:rPr>
      </w:pPr>
      <w:bookmarkStart w:id="5" w:name="_Ref451727336"/>
      <w:bookmarkStart w:id="6" w:name="_Toc521479040"/>
      <w:r>
        <w:rPr>
          <w:rFonts w:hint="cs"/>
          <w:rtl/>
        </w:rPr>
        <w:t xml:space="preserve">עדות </w:t>
      </w:r>
      <w:r>
        <w:rPr>
          <w:rtl/>
        </w:rPr>
        <w:t>–</w:t>
      </w:r>
      <w:r>
        <w:rPr>
          <w:rFonts w:hint="cs"/>
          <w:rtl/>
        </w:rPr>
        <w:t xml:space="preserve"> תוכן העדות או כוונת העדים</w:t>
      </w:r>
      <w:bookmarkEnd w:id="5"/>
      <w:bookmarkEnd w:id="6"/>
    </w:p>
    <w:p w14:paraId="786A6145" w14:textId="77777777" w:rsidR="00D81E78" w:rsidRDefault="00D81E78" w:rsidP="00D81E78">
      <w:pPr>
        <w:pStyle w:val="Heading2"/>
        <w:rPr>
          <w:rtl/>
        </w:rPr>
      </w:pPr>
      <w:r>
        <w:rPr>
          <w:rFonts w:hint="cs"/>
          <w:rtl/>
        </w:rPr>
        <w:t>מכות ב:</w:t>
      </w:r>
    </w:p>
    <w:p w14:paraId="3B056094" w14:textId="5EC4295A" w:rsidR="00C60C4F" w:rsidRDefault="00C60C4F" w:rsidP="00D81E78">
      <w:pPr>
        <w:pStyle w:val="Heading2"/>
        <w:rPr>
          <w:rtl/>
        </w:rPr>
      </w:pPr>
      <w:r>
        <w:rPr>
          <w:rFonts w:hint="cs"/>
          <w:rtl/>
        </w:rPr>
        <w:t>תוספות סנהדרין ב.</w:t>
      </w:r>
    </w:p>
    <w:p w14:paraId="6E6C53DC" w14:textId="7F9966B0" w:rsidR="00D81E78" w:rsidRDefault="00D81E78" w:rsidP="00D81E78">
      <w:pPr>
        <w:pStyle w:val="Heading2"/>
      </w:pPr>
      <w:r>
        <w:rPr>
          <w:rtl/>
        </w:rPr>
        <w:t>קצות החושן סימן לח</w:t>
      </w:r>
      <w:r>
        <w:rPr>
          <w:rFonts w:hint="cs"/>
          <w:rtl/>
        </w:rPr>
        <w:t xml:space="preserve"> ס"ק ד</w:t>
      </w:r>
    </w:p>
    <w:p w14:paraId="4CDA0520" w14:textId="77777777" w:rsidR="00D81E78" w:rsidRPr="000647AF" w:rsidRDefault="00D81E78" w:rsidP="0060616C">
      <w:pPr>
        <w:rPr>
          <w:rtl/>
        </w:rPr>
      </w:pPr>
      <w:r w:rsidRPr="000647AF">
        <w:rPr>
          <w:rtl/>
        </w:rPr>
        <w:t>יראה לי דשנים שהעידו באחד שנתנסך יינו והוזמו חייבין העדים לשלם</w:t>
      </w:r>
      <w:r>
        <w:rPr>
          <w:rFonts w:hint="cs"/>
          <w:rtl/>
        </w:rPr>
        <w:t xml:space="preserve"> </w:t>
      </w:r>
      <w:r w:rsidRPr="000647AF">
        <w:rPr>
          <w:rtl/>
        </w:rPr>
        <w:t>דמי היין ככל תורת עדים זוממים, ואע"ג דבקרא כתיב (דברים יט, יט) כאשר</w:t>
      </w:r>
      <w:r>
        <w:rPr>
          <w:rFonts w:hint="cs"/>
          <w:rtl/>
        </w:rPr>
        <w:t xml:space="preserve"> </w:t>
      </w:r>
      <w:r w:rsidRPr="000647AF">
        <w:rPr>
          <w:rtl/>
        </w:rPr>
        <w:t>זמם לעשות לאחיו והני אין מחייבין אותו כלל אלא על היין הוא דמעידין.</w:t>
      </w:r>
      <w:r>
        <w:rPr>
          <w:rFonts w:hint="cs"/>
          <w:rtl/>
        </w:rPr>
        <w:t xml:space="preserve"> </w:t>
      </w:r>
      <w:r w:rsidRPr="000647AF">
        <w:rPr>
          <w:rtl/>
        </w:rPr>
        <w:t>וראיה מפרק קמא דסנהדרין (י, א) פלוני רבע שורו של פלוני נהרגין ומשלמין</w:t>
      </w:r>
      <w:r>
        <w:rPr>
          <w:rFonts w:hint="cs"/>
          <w:rtl/>
        </w:rPr>
        <w:t xml:space="preserve"> </w:t>
      </w:r>
      <w:r w:rsidRPr="000647AF">
        <w:rPr>
          <w:rtl/>
        </w:rPr>
        <w:t>דמי שור לבעלים, אלמא אף דמסהדי על השור ולא על בעל השור אפילו הכי</w:t>
      </w:r>
      <w:r>
        <w:rPr>
          <w:rFonts w:hint="cs"/>
          <w:rtl/>
        </w:rPr>
        <w:t xml:space="preserve"> </w:t>
      </w:r>
      <w:r w:rsidRPr="000647AF">
        <w:rPr>
          <w:rtl/>
        </w:rPr>
        <w:t>משלמין דמי השור.</w:t>
      </w:r>
    </w:p>
    <w:p w14:paraId="63036D2C" w14:textId="77777777" w:rsidR="00D81E78" w:rsidRPr="000647AF" w:rsidRDefault="00D81E78" w:rsidP="0060616C">
      <w:pPr>
        <w:rPr>
          <w:rtl/>
        </w:rPr>
      </w:pPr>
      <w:r w:rsidRPr="000647AF">
        <w:rPr>
          <w:rtl/>
        </w:rPr>
        <w:t>אלא שיש לעיין במ"ש הרמב"ם בפרק כ' מהלכות עדות (ה"ח) ז"ל, העידו עלשורו שהרג את הנפש והוזמו הרי הן לוקין ואין משלמין את הכופר, ומשמעדאין העדים צריכין לשלם במה שרצו להפסיד שורו להורגו ולאוסרו בהנאה,</w:t>
      </w:r>
      <w:r>
        <w:rPr>
          <w:rFonts w:hint="cs"/>
          <w:rtl/>
        </w:rPr>
        <w:t xml:space="preserve"> </w:t>
      </w:r>
      <w:r w:rsidRPr="000647AF">
        <w:rPr>
          <w:rtl/>
        </w:rPr>
        <w:t>דאם היו משלמין בעד השור לא היו לוקין דהא בפירוש ריבתה התורה עדים</w:t>
      </w:r>
      <w:r>
        <w:rPr>
          <w:rFonts w:hint="cs"/>
          <w:rtl/>
        </w:rPr>
        <w:t xml:space="preserve"> </w:t>
      </w:r>
      <w:r w:rsidRPr="000647AF">
        <w:rPr>
          <w:rtl/>
        </w:rPr>
        <w:t>זוממין לתשלומין ולא למלקות. ודין זה דאין עדים זוממין משלמין את הכופר</w:t>
      </w:r>
      <w:r>
        <w:rPr>
          <w:rFonts w:hint="cs"/>
          <w:rtl/>
        </w:rPr>
        <w:t xml:space="preserve"> </w:t>
      </w:r>
      <w:r>
        <w:rPr>
          <w:rtl/>
        </w:rPr>
        <w:t>היא ברייתא בפ"ק דמכות (ב</w:t>
      </w:r>
      <w:r>
        <w:rPr>
          <w:rFonts w:hint="cs"/>
          <w:rtl/>
        </w:rPr>
        <w:t>:</w:t>
      </w:r>
      <w:r w:rsidRPr="000647AF">
        <w:rPr>
          <w:rtl/>
        </w:rPr>
        <w:t>) וליתא שם דלוקין, והרמב"ם הוסיף מדעתו</w:t>
      </w:r>
      <w:r>
        <w:rPr>
          <w:rFonts w:hint="cs"/>
          <w:rtl/>
        </w:rPr>
        <w:t xml:space="preserve"> </w:t>
      </w:r>
      <w:r w:rsidRPr="000647AF">
        <w:rPr>
          <w:rtl/>
        </w:rPr>
        <w:t>דלוקין. וצריך לומר דהרמב"ם איירי בגוונא דאין השור בסקילה ואפילו הכימשלם את הכופר וכמ"ש הרמב"ם בפרק י' מנזקי ממון (ה"ט - י'):</w:t>
      </w:r>
    </w:p>
    <w:p w14:paraId="158014F1" w14:textId="77777777" w:rsidR="00D81E78" w:rsidRDefault="00D81E78" w:rsidP="0060616C">
      <w:pPr>
        <w:pStyle w:val="Heading2"/>
        <w:rPr>
          <w:shd w:val="clear" w:color="auto" w:fill="FFFFFF"/>
        </w:rPr>
      </w:pPr>
      <w:r>
        <w:rPr>
          <w:shd w:val="clear" w:color="auto" w:fill="FFFFFF"/>
          <w:rtl/>
        </w:rPr>
        <w:t>נתיבות המשפט ביאורים סימן לח</w:t>
      </w:r>
      <w:r>
        <w:rPr>
          <w:rFonts w:hint="cs"/>
          <w:shd w:val="clear" w:color="auto" w:fill="FFFFFF"/>
          <w:rtl/>
        </w:rPr>
        <w:t xml:space="preserve"> ס"ק ב</w:t>
      </w:r>
    </w:p>
    <w:p w14:paraId="6DB020DD" w14:textId="77777777" w:rsidR="00D81E78" w:rsidRDefault="00D81E78" w:rsidP="0060616C">
      <w:r w:rsidRPr="000647AF">
        <w:rPr>
          <w:rtl/>
        </w:rPr>
        <w:t>ועיין בספר קצות החושן [סק"ד] שכתב, דעדים שהעידו שנתנסך יינו שלראובן והוזמו, דחייבין לשלם מכאשר זמם. והביא ראיה מסנהדרין י' [ע"א]</w:t>
      </w:r>
      <w:r>
        <w:t xml:space="preserve"> </w:t>
      </w:r>
      <w:r w:rsidRPr="000647AF">
        <w:rPr>
          <w:rtl/>
        </w:rPr>
        <w:t>בפלוני רבע שורו של פלוני והוזמו, דחייבין לשלם דמי שור לבעלים וכו'.ולפי עניות דעתי לא דמי, דלא שייך כאשר זמם רק בדבר שצריך עדות בבית</w:t>
      </w:r>
      <w:r>
        <w:t xml:space="preserve"> </w:t>
      </w:r>
      <w:r w:rsidRPr="000647AF">
        <w:rPr>
          <w:rtl/>
        </w:rPr>
        <w:t>דין, כגון הריגת שור, אבל באיסורין, אפילו במקום דצריך שני עדים, מכל</w:t>
      </w:r>
      <w:r>
        <w:t xml:space="preserve"> </w:t>
      </w:r>
      <w:r w:rsidRPr="000647AF">
        <w:rPr>
          <w:rtl/>
        </w:rPr>
        <w:t>מקום לא צריך הגדה בבית דין, כמו שכתבתי לעיל בסימן כ"ח [ביאורים</w:t>
      </w:r>
      <w:r>
        <w:t xml:space="preserve"> </w:t>
      </w:r>
      <w:r w:rsidRPr="000647AF">
        <w:rPr>
          <w:rtl/>
        </w:rPr>
        <w:t>סק"ז], ובספר חוות דעת סימן צ"ח [ביאורים סק"א], ע"ש, ובדבר שאין צריך</w:t>
      </w:r>
      <w:r>
        <w:t xml:space="preserve"> </w:t>
      </w:r>
      <w:r w:rsidRPr="000647AF">
        <w:rPr>
          <w:rtl/>
        </w:rPr>
        <w:t>עדות בבית דין, לא חידשה התורה דין דכאשר זמם. אכן מה שכתב דאם כבר</w:t>
      </w:r>
      <w:r>
        <w:t xml:space="preserve"> </w:t>
      </w:r>
      <w:r w:rsidRPr="000647AF">
        <w:rPr>
          <w:rtl/>
        </w:rPr>
        <w:t>נפסד דחייב לשלם מדינא דגרמי, יפה כתב.</w:t>
      </w:r>
    </w:p>
    <w:p w14:paraId="18E9AAC9" w14:textId="77777777" w:rsidR="00D81E78" w:rsidRPr="00A97DA7" w:rsidRDefault="00D81E78" w:rsidP="00D81E78">
      <w:pPr>
        <w:pStyle w:val="Heading2"/>
        <w:rPr>
          <w:rtl/>
        </w:rPr>
      </w:pPr>
      <w:r>
        <w:rPr>
          <w:rtl/>
        </w:rPr>
        <w:t>ארץ הצבי סימן טו</w:t>
      </w:r>
    </w:p>
    <w:p w14:paraId="7E0C3FF8" w14:textId="77777777" w:rsidR="00D81E78" w:rsidRPr="00D81E78" w:rsidRDefault="00D81E78" w:rsidP="00D81E78">
      <w:pPr>
        <w:rPr>
          <w:rFonts w:hint="cs"/>
        </w:rPr>
      </w:pPr>
    </w:p>
    <w:sectPr w:rsidR="00D81E78" w:rsidRPr="00D81E78">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ADE3E7" w14:textId="77777777" w:rsidR="00192AE5" w:rsidRDefault="00192AE5" w:rsidP="009F4441">
      <w:pPr>
        <w:spacing w:after="0" w:line="240" w:lineRule="auto"/>
      </w:pPr>
      <w:r>
        <w:separator/>
      </w:r>
    </w:p>
  </w:endnote>
  <w:endnote w:type="continuationSeparator" w:id="0">
    <w:p w14:paraId="3063C0CD" w14:textId="77777777" w:rsidR="00192AE5" w:rsidRDefault="00192AE5"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F99FB"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D46D69" w14:textId="77777777" w:rsidR="00192AE5" w:rsidRDefault="00192AE5" w:rsidP="009F4441">
      <w:pPr>
        <w:spacing w:after="0" w:line="240" w:lineRule="auto"/>
      </w:pPr>
      <w:r>
        <w:separator/>
      </w:r>
    </w:p>
  </w:footnote>
  <w:footnote w:type="continuationSeparator" w:id="0">
    <w:p w14:paraId="66298B6B" w14:textId="77777777" w:rsidR="00192AE5" w:rsidRDefault="00192AE5" w:rsidP="009F4441">
      <w:pPr>
        <w:spacing w:after="0" w:line="240" w:lineRule="auto"/>
      </w:pPr>
      <w:r>
        <w:continuationSeparator/>
      </w:r>
    </w:p>
  </w:footnote>
  <w:footnote w:id="1">
    <w:p w14:paraId="6FEF1020" w14:textId="77777777" w:rsidR="009D6598" w:rsidRDefault="009D6598" w:rsidP="009D6598">
      <w:pPr>
        <w:pStyle w:val="Heading4"/>
        <w:rPr>
          <w:rtl/>
        </w:rPr>
      </w:pPr>
      <w:r>
        <w:rPr>
          <w:rStyle w:val="FootnoteReference"/>
        </w:rPr>
        <w:footnoteRef/>
      </w:r>
      <w:r>
        <w:rPr>
          <w:rFonts w:hint="cs"/>
          <w:rtl/>
        </w:rPr>
        <w:t xml:space="preserve"> </w:t>
      </w:r>
      <w:r w:rsidRPr="006709A5">
        <w:rPr>
          <w:rtl/>
        </w:rPr>
        <w:t>בית יוסף אורח חיים סימן רסג</w:t>
      </w:r>
    </w:p>
    <w:p w14:paraId="63EA60F9" w14:textId="50047495" w:rsidR="009D6598" w:rsidRPr="009D167D" w:rsidRDefault="009D6598" w:rsidP="009D167D">
      <w:pPr>
        <w:pStyle w:val="FootnoteText"/>
        <w:rPr>
          <w:sz w:val="18"/>
          <w:szCs w:val="18"/>
        </w:rPr>
      </w:pPr>
      <w:r w:rsidRPr="003E25BE">
        <w:rPr>
          <w:sz w:val="18"/>
          <w:szCs w:val="18"/>
          <w:rtl/>
        </w:rPr>
        <w:t>כתוב עוד שם (בשבלי הלקט) שאלה לרב שרירא גאון מי שעבר עבירה בשבת או בחול ולא נזכר אלא בשבת ומתייראין שמא יברח למוצאי שבת יכניסוהו לבית הסוהר [עד מוצאי שבת] או ילקוהו בשבת והשיב אין מלקין ואין מכניסין לבית הסוהר ביום טוב וכל שכן בשבת דהני מילי דינא אינון ואין דנין ביום טוב ושבת (ביצה לו:) ואם ברח אין עלינו כלום ע"כ:</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E9CDF" w14:textId="77777777" w:rsidR="00E019E9" w:rsidRDefault="009F4441" w:rsidP="000D7D13">
    <w:pPr>
      <w:spacing w:after="0" w:line="240" w:lineRule="auto"/>
      <w:jc w:val="center"/>
      <w:rPr>
        <w:rtl/>
      </w:rPr>
    </w:pPr>
    <w:r w:rsidRPr="00C52284">
      <w:rPr>
        <w:rtl/>
      </w:rPr>
      <w:t>הרב צבי שכטר</w:t>
    </w:r>
    <w:r w:rsidR="00E019E9">
      <w:tab/>
    </w:r>
    <w:r w:rsidR="000D7D13">
      <w:rPr>
        <w:rtl/>
      </w:rPr>
      <w:tab/>
    </w:r>
    <w:r w:rsidR="000D7D13">
      <w:rPr>
        <w:rtl/>
      </w:rPr>
      <w:tab/>
    </w:r>
    <w:r w:rsidR="000D7D13">
      <w:rPr>
        <w:rtl/>
      </w:rPr>
      <w:tab/>
    </w:r>
    <w:r w:rsidR="00E019E9">
      <w:tab/>
    </w:r>
    <w:r w:rsidRPr="00C52284">
      <w:tab/>
    </w:r>
    <w:r w:rsidRPr="00C52284">
      <w:rPr>
        <w:rtl/>
      </w:rPr>
      <w:tab/>
    </w:r>
    <w:r w:rsidRPr="00C52284">
      <w:tab/>
    </w:r>
    <w:r w:rsidRPr="00C52284">
      <w:rPr>
        <w:rtl/>
      </w:rPr>
      <w:tab/>
    </w:r>
    <w:r w:rsidR="00192AE5">
      <w:rPr>
        <w:rFonts w:hint="cs"/>
        <w:rtl/>
      </w:rPr>
      <w:t xml:space="preserve">          </w:t>
    </w:r>
    <w:r>
      <w:rPr>
        <w:rFonts w:hint="cs"/>
        <w:rtl/>
      </w:rPr>
      <w:t xml:space="preserve">מסכת </w:t>
    </w:r>
    <w:r w:rsidR="00192AE5">
      <w:rPr>
        <w:rFonts w:hint="cs"/>
        <w:rtl/>
      </w:rPr>
      <w:t>בבא קמא</w:t>
    </w:r>
    <w:r>
      <w:rPr>
        <w:rFonts w:hint="cs"/>
        <w:rtl/>
      </w:rPr>
      <w:t xml:space="preserve"> ב.</w:t>
    </w:r>
  </w:p>
  <w:p w14:paraId="66E50155" w14:textId="77777777" w:rsidR="00E019E9" w:rsidRPr="009F4441" w:rsidRDefault="00E019E9" w:rsidP="000D7D13">
    <w:pPr>
      <w:spacing w:after="0" w:line="240" w:lineRule="auto"/>
    </w:pPr>
    <w:r w:rsidRPr="00C52284">
      <w:rPr>
        <w:rtl/>
      </w:rPr>
      <w:t>‏</w:t>
    </w:r>
    <w:r>
      <w:rPr>
        <w:rFonts w:hint="cs"/>
        <w:rtl/>
      </w:rPr>
      <w:t>‏</w:t>
    </w:r>
    <w:r w:rsidR="00192AE5" w:rsidRPr="00192AE5">
      <w:rPr>
        <w:rtl/>
      </w:rPr>
      <w:t>‏ט"ז אלול תשע"ח</w:t>
    </w:r>
    <w:r w:rsidR="00192AE5" w:rsidRPr="00192AE5">
      <w:rPr>
        <w:rtl/>
      </w:rPr>
      <w:tab/>
    </w:r>
    <w:r w:rsidR="00192AE5" w:rsidRPr="00192AE5">
      <w:rPr>
        <w:rtl/>
      </w:rPr>
      <w:tab/>
    </w:r>
    <w:r w:rsidR="00192AE5">
      <w:rPr>
        <w:rtl/>
      </w:rPr>
      <w:tab/>
    </w:r>
    <w:r w:rsidR="00192AE5">
      <w:rPr>
        <w:rtl/>
      </w:rPr>
      <w:tab/>
    </w:r>
    <w:r w:rsidR="00192AE5">
      <w:rPr>
        <w:rtl/>
      </w:rPr>
      <w:tab/>
    </w:r>
    <w:r w:rsidR="00192AE5">
      <w:rPr>
        <w:rtl/>
      </w:rPr>
      <w:tab/>
    </w:r>
    <w:r w:rsidR="00192AE5">
      <w:rPr>
        <w:rtl/>
      </w:rPr>
      <w:tab/>
    </w:r>
    <w:r w:rsidR="00192AE5">
      <w:rPr>
        <w:rtl/>
      </w:rPr>
      <w:tab/>
    </w:r>
    <w:r w:rsidR="00192AE5">
      <w:rPr>
        <w:rtl/>
      </w:rPr>
      <w:tab/>
    </w:r>
    <w:r w:rsidR="00192AE5">
      <w:rPr>
        <w:rFonts w:hint="cs"/>
        <w:rtl/>
      </w:rPr>
      <w:t xml:space="preserve">  </w:t>
    </w:r>
    <w:r w:rsidRPr="00C52284">
      <w:rPr>
        <w:rtl/>
      </w:rPr>
      <w:t xml:space="preserve">שיעור </w:t>
    </w:r>
    <w:r>
      <w:rPr>
        <w:rFonts w:hint="cs"/>
        <w:rtl/>
      </w:rPr>
      <w:t>א'</w:t>
    </w:r>
    <w:r w:rsidR="00192AE5">
      <w:rPr>
        <w:rFonts w:hint="cs"/>
        <w:rtl/>
      </w:rPr>
      <w:t xml:space="preserve"> </w:t>
    </w:r>
    <w:r w:rsidR="00192AE5">
      <w:rPr>
        <w:rtl/>
      </w:rPr>
      <w:t>–</w:t>
    </w:r>
    <w:r w:rsidR="00192AE5">
      <w:rPr>
        <w:rFonts w:hint="cs"/>
        <w:rtl/>
      </w:rPr>
      <w:t xml:space="preserve"> שיעור פתיחה</w:t>
    </w:r>
    <w:r>
      <w:rPr>
        <w:rtl/>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AE5"/>
    <w:rsid w:val="000C25FD"/>
    <w:rsid w:val="000D7D13"/>
    <w:rsid w:val="0019248C"/>
    <w:rsid w:val="00192AE5"/>
    <w:rsid w:val="001A3E2F"/>
    <w:rsid w:val="002D7162"/>
    <w:rsid w:val="0031649D"/>
    <w:rsid w:val="003503C5"/>
    <w:rsid w:val="003C0881"/>
    <w:rsid w:val="00486011"/>
    <w:rsid w:val="004C15AD"/>
    <w:rsid w:val="00533FC6"/>
    <w:rsid w:val="0060616C"/>
    <w:rsid w:val="006921C4"/>
    <w:rsid w:val="00771609"/>
    <w:rsid w:val="009D01D4"/>
    <w:rsid w:val="009D167D"/>
    <w:rsid w:val="009D6598"/>
    <w:rsid w:val="009F4441"/>
    <w:rsid w:val="00A34938"/>
    <w:rsid w:val="00B75E9F"/>
    <w:rsid w:val="00B76815"/>
    <w:rsid w:val="00C47AA7"/>
    <w:rsid w:val="00C60C4F"/>
    <w:rsid w:val="00D81E78"/>
    <w:rsid w:val="00DC2752"/>
    <w:rsid w:val="00E019E9"/>
    <w:rsid w:val="00E1446B"/>
    <w:rsid w:val="00FC3EC3"/>
    <w:rsid w:val="00FE6EB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31FB7"/>
  <w15:chartTrackingRefBased/>
  <w15:docId w15:val="{747C8C5B-1A83-4976-A8E5-F8D8381A2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2AE5"/>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92AE5"/>
    <w:pPr>
      <w:outlineLvl w:val="3"/>
    </w:pPr>
    <w:rPr>
      <w:color w:val="0000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rsid w:val="00192AE5"/>
    <w:rPr>
      <w:rFonts w:ascii="Narkisim" w:hAnsi="Narkisim" w:cs="Narkisim"/>
      <w:color w:val="000080"/>
      <w:sz w:val="28"/>
      <w:szCs w:val="28"/>
    </w:rPr>
  </w:style>
  <w:style w:type="character" w:styleId="Hyperlink">
    <w:name w:val="Hyperlink"/>
    <w:basedOn w:val="DefaultParagraphFont"/>
    <w:uiPriority w:val="99"/>
    <w:unhideWhenUsed/>
    <w:rsid w:val="00192AE5"/>
    <w:rPr>
      <w:color w:val="0563C1" w:themeColor="hyperlink"/>
      <w:u w:val="single"/>
    </w:rPr>
  </w:style>
  <w:style w:type="character" w:customStyle="1" w:styleId="FootnoteTextChar">
    <w:name w:val="Footnote Text Char"/>
    <w:basedOn w:val="DefaultParagraphFont"/>
    <w:link w:val="FootnoteText"/>
    <w:uiPriority w:val="99"/>
    <w:rsid w:val="009D6598"/>
    <w:rPr>
      <w:rFonts w:ascii="Narkisim" w:hAnsi="Narkisim" w:cs="Narkisim"/>
      <w:sz w:val="20"/>
      <w:szCs w:val="20"/>
    </w:rPr>
  </w:style>
  <w:style w:type="paragraph" w:styleId="FootnoteText">
    <w:name w:val="footnote text"/>
    <w:basedOn w:val="Normal"/>
    <w:link w:val="FootnoteTextChar"/>
    <w:uiPriority w:val="99"/>
    <w:unhideWhenUsed/>
    <w:rsid w:val="009D6598"/>
    <w:pPr>
      <w:spacing w:after="0" w:line="240" w:lineRule="auto"/>
    </w:pPr>
    <w:rPr>
      <w:sz w:val="20"/>
      <w:szCs w:val="20"/>
    </w:rPr>
  </w:style>
  <w:style w:type="character" w:customStyle="1" w:styleId="FootnoteTextChar1">
    <w:name w:val="Footnote Text Char1"/>
    <w:basedOn w:val="DefaultParagraphFont"/>
    <w:uiPriority w:val="99"/>
    <w:semiHidden/>
    <w:rsid w:val="009D6598"/>
    <w:rPr>
      <w:rFonts w:ascii="Narkisim" w:hAnsi="Narkisim" w:cs="Narkisim"/>
      <w:sz w:val="20"/>
      <w:szCs w:val="20"/>
    </w:rPr>
  </w:style>
  <w:style w:type="character" w:styleId="FootnoteReference">
    <w:name w:val="footnote reference"/>
    <w:basedOn w:val="DefaultParagraphFont"/>
    <w:uiPriority w:val="99"/>
    <w:semiHidden/>
    <w:unhideWhenUsed/>
    <w:rsid w:val="009D6598"/>
    <w:rPr>
      <w:vertAlign w:val="superscript"/>
    </w:rPr>
  </w:style>
  <w:style w:type="character" w:styleId="UnresolvedMention">
    <w:name w:val="Unresolved Mention"/>
    <w:basedOn w:val="DefaultParagraphFont"/>
    <w:uiPriority w:val="99"/>
    <w:semiHidden/>
    <w:unhideWhenUsed/>
    <w:rsid w:val="00533FC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otzar.org/wotzar/book.aspx?179794&amp;pageid=P0068A"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56</TotalTime>
  <Pages>9</Pages>
  <Words>765</Words>
  <Characters>4365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25</cp:revision>
  <dcterms:created xsi:type="dcterms:W3CDTF">2018-08-27T01:05:00Z</dcterms:created>
  <dcterms:modified xsi:type="dcterms:W3CDTF">2018-08-27T02:13:00Z</dcterms:modified>
</cp:coreProperties>
</file>