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3AD4"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16BCB28" w14:textId="7E7C117E" w:rsidR="009F4441" w:rsidRDefault="00E40279" w:rsidP="009F4441">
      <w:pPr>
        <w:pStyle w:val="Subtitle"/>
        <w:rPr>
          <w:rtl/>
        </w:rPr>
      </w:pPr>
      <w:r>
        <w:rPr>
          <w:rFonts w:hint="cs"/>
          <w:rtl/>
        </w:rPr>
        <w:t>ענייני אין עומדים</w:t>
      </w:r>
    </w:p>
    <w:p w14:paraId="5F5D85D6" w14:textId="24A3CB7E" w:rsidR="009F4441" w:rsidRDefault="009B59CD" w:rsidP="009F4441">
      <w:pPr>
        <w:pStyle w:val="Heading1"/>
        <w:rPr>
          <w:rtl/>
        </w:rPr>
      </w:pPr>
      <w:r>
        <w:rPr>
          <w:rFonts w:hint="cs"/>
          <w:rtl/>
        </w:rPr>
        <w:t>ד' דברים צריכים חיזוק</w:t>
      </w:r>
    </w:p>
    <w:p w14:paraId="21E44773" w14:textId="1D179FD4" w:rsidR="009F4441" w:rsidRDefault="009B59CD" w:rsidP="009F4441">
      <w:pPr>
        <w:pStyle w:val="Heading2"/>
        <w:rPr>
          <w:rtl/>
        </w:rPr>
      </w:pPr>
      <w:r>
        <w:rPr>
          <w:rFonts w:hint="cs"/>
          <w:rtl/>
        </w:rPr>
        <w:t xml:space="preserve">נפש הרב עמ' </w:t>
      </w:r>
      <w:proofErr w:type="spellStart"/>
      <w:r w:rsidR="007B3D45">
        <w:rPr>
          <w:rFonts w:hint="cs"/>
          <w:rtl/>
        </w:rPr>
        <w:t>קסד</w:t>
      </w:r>
      <w:proofErr w:type="spellEnd"/>
    </w:p>
    <w:p w14:paraId="4D95BF0C" w14:textId="2B439E05" w:rsidR="009F4441" w:rsidRDefault="007B3D45" w:rsidP="007B3D45">
      <w:pPr>
        <w:pStyle w:val="Heading2"/>
        <w:rPr>
          <w:rtl/>
        </w:rPr>
      </w:pPr>
      <w:r>
        <w:rPr>
          <w:rFonts w:hint="cs"/>
          <w:rtl/>
        </w:rPr>
        <w:t>מפניני הרב עמ' פה</w:t>
      </w:r>
    </w:p>
    <w:p w14:paraId="5C11FA8F" w14:textId="4184CB6F" w:rsidR="007B3D45" w:rsidRPr="007B3D45" w:rsidRDefault="007B3D45" w:rsidP="007B3D45">
      <w:pPr>
        <w:pStyle w:val="Heading2"/>
      </w:pPr>
      <w:r>
        <w:rPr>
          <w:rFonts w:hint="cs"/>
          <w:rtl/>
        </w:rPr>
        <w:t xml:space="preserve">מפניני הרב עמ' </w:t>
      </w:r>
      <w:proofErr w:type="spellStart"/>
      <w:r>
        <w:rPr>
          <w:rFonts w:hint="cs"/>
          <w:rtl/>
        </w:rPr>
        <w:t>רנג</w:t>
      </w:r>
      <w:proofErr w:type="spellEnd"/>
    </w:p>
    <w:p w14:paraId="274C7BA9" w14:textId="3FAC45EA" w:rsidR="00C8003C" w:rsidRDefault="00C8003C" w:rsidP="00856CAB">
      <w:pPr>
        <w:pStyle w:val="Heading1"/>
        <w:rPr>
          <w:rtl/>
        </w:rPr>
      </w:pPr>
      <w:r>
        <w:rPr>
          <w:rFonts w:hint="cs"/>
          <w:rtl/>
        </w:rPr>
        <w:t xml:space="preserve">שבת </w:t>
      </w:r>
      <w:r>
        <w:rPr>
          <w:rtl/>
        </w:rPr>
        <w:t>–</w:t>
      </w:r>
      <w:r>
        <w:rPr>
          <w:rFonts w:hint="cs"/>
          <w:rtl/>
        </w:rPr>
        <w:t xml:space="preserve"> תענית חלום</w:t>
      </w:r>
    </w:p>
    <w:p w14:paraId="4F030104" w14:textId="5AA25C61" w:rsidR="00C8003C" w:rsidRDefault="00C8003C" w:rsidP="00C8003C">
      <w:pPr>
        <w:pStyle w:val="Heading2"/>
        <w:rPr>
          <w:rtl/>
        </w:rPr>
      </w:pPr>
      <w:r>
        <w:rPr>
          <w:rFonts w:hint="cs"/>
          <w:rtl/>
        </w:rPr>
        <w:t>ברכות לא:</w:t>
      </w:r>
    </w:p>
    <w:p w14:paraId="4709E06C" w14:textId="6D1C42C8" w:rsidR="00C8003C" w:rsidRDefault="00C8003C" w:rsidP="00C8003C">
      <w:pPr>
        <w:pStyle w:val="Heading2"/>
        <w:rPr>
          <w:rtl/>
        </w:rPr>
      </w:pPr>
      <w:r>
        <w:rPr>
          <w:rtl/>
        </w:rPr>
        <w:t>ת</w:t>
      </w:r>
      <w:r>
        <w:rPr>
          <w:rFonts w:hint="cs"/>
          <w:rtl/>
        </w:rPr>
        <w:t xml:space="preserve">ענית </w:t>
      </w:r>
      <w:proofErr w:type="spellStart"/>
      <w:r>
        <w:rPr>
          <w:rFonts w:hint="cs"/>
          <w:rtl/>
        </w:rPr>
        <w:t>יב</w:t>
      </w:r>
      <w:proofErr w:type="spellEnd"/>
      <w:r>
        <w:rPr>
          <w:rFonts w:hint="cs"/>
          <w:rtl/>
        </w:rPr>
        <w:t>:</w:t>
      </w:r>
    </w:p>
    <w:p w14:paraId="2C8C3C61" w14:textId="703AD855" w:rsidR="00C8003C" w:rsidRDefault="00C8003C" w:rsidP="00C8003C">
      <w:pPr>
        <w:rPr>
          <w:rtl/>
        </w:rPr>
      </w:pPr>
      <w:r w:rsidRPr="00C8003C">
        <w:rPr>
          <w:rtl/>
        </w:rPr>
        <w:t xml:space="preserve">אמר רב יהודה אמר רב: </w:t>
      </w:r>
      <w:proofErr w:type="spellStart"/>
      <w:r w:rsidRPr="00C8003C">
        <w:rPr>
          <w:rtl/>
        </w:rPr>
        <w:t>לוה</w:t>
      </w:r>
      <w:proofErr w:type="spellEnd"/>
      <w:r w:rsidRPr="00C8003C">
        <w:rPr>
          <w:rtl/>
        </w:rPr>
        <w:t xml:space="preserve"> אדם תעניתו ופורע. כי </w:t>
      </w:r>
      <w:proofErr w:type="spellStart"/>
      <w:r w:rsidRPr="00C8003C">
        <w:rPr>
          <w:rtl/>
        </w:rPr>
        <w:t>אמריתה</w:t>
      </w:r>
      <w:proofErr w:type="spellEnd"/>
      <w:r w:rsidRPr="00C8003C">
        <w:rPr>
          <w:rtl/>
        </w:rPr>
        <w:t xml:space="preserve"> </w:t>
      </w:r>
      <w:proofErr w:type="spellStart"/>
      <w:r w:rsidRPr="00C8003C">
        <w:rPr>
          <w:rtl/>
        </w:rPr>
        <w:t>קמיה</w:t>
      </w:r>
      <w:proofErr w:type="spellEnd"/>
      <w:r w:rsidRPr="00C8003C">
        <w:rPr>
          <w:rtl/>
        </w:rPr>
        <w:t xml:space="preserve"> </w:t>
      </w:r>
      <w:proofErr w:type="spellStart"/>
      <w:r w:rsidRPr="00C8003C">
        <w:rPr>
          <w:rtl/>
        </w:rPr>
        <w:t>דשמואל</w:t>
      </w:r>
      <w:proofErr w:type="spellEnd"/>
      <w:r w:rsidRPr="00C8003C">
        <w:rPr>
          <w:rtl/>
        </w:rPr>
        <w:t xml:space="preserve">, אמר לי: וכי נדר קבל עליה דלא סגי דלא משלם? </w:t>
      </w:r>
      <w:proofErr w:type="spellStart"/>
      <w:r w:rsidRPr="00C8003C">
        <w:rPr>
          <w:rtl/>
        </w:rPr>
        <w:t>לצעורי</w:t>
      </w:r>
      <w:proofErr w:type="spellEnd"/>
      <w:r w:rsidRPr="00C8003C">
        <w:rPr>
          <w:rtl/>
        </w:rPr>
        <w:t xml:space="preserve"> </w:t>
      </w:r>
      <w:proofErr w:type="spellStart"/>
      <w:r w:rsidRPr="00C8003C">
        <w:rPr>
          <w:rtl/>
        </w:rPr>
        <w:t>נפשיה</w:t>
      </w:r>
      <w:proofErr w:type="spellEnd"/>
      <w:r w:rsidRPr="00C8003C">
        <w:rPr>
          <w:rtl/>
        </w:rPr>
        <w:t xml:space="preserve"> קביל עליה, אי מצי - מצער </w:t>
      </w:r>
      <w:proofErr w:type="spellStart"/>
      <w:r w:rsidRPr="00C8003C">
        <w:rPr>
          <w:rtl/>
        </w:rPr>
        <w:t>נפשיה</w:t>
      </w:r>
      <w:proofErr w:type="spellEnd"/>
      <w:r w:rsidRPr="00C8003C">
        <w:rPr>
          <w:rtl/>
        </w:rPr>
        <w:t xml:space="preserve">. אי לא מצי - לא מצער </w:t>
      </w:r>
      <w:proofErr w:type="spellStart"/>
      <w:r w:rsidRPr="00C8003C">
        <w:rPr>
          <w:rtl/>
        </w:rPr>
        <w:t>נפשיה</w:t>
      </w:r>
      <w:proofErr w:type="spellEnd"/>
      <w:r w:rsidRPr="00C8003C">
        <w:rPr>
          <w:rtl/>
        </w:rPr>
        <w:t xml:space="preserve">. איכא </w:t>
      </w:r>
      <w:proofErr w:type="spellStart"/>
      <w:r w:rsidRPr="00C8003C">
        <w:rPr>
          <w:rtl/>
        </w:rPr>
        <w:t>דאמרי</w:t>
      </w:r>
      <w:proofErr w:type="spellEnd"/>
      <w:r w:rsidRPr="00C8003C">
        <w:rPr>
          <w:rtl/>
        </w:rPr>
        <w:t xml:space="preserve">, אמר רב יהודה אמר רב: </w:t>
      </w:r>
      <w:proofErr w:type="spellStart"/>
      <w:r w:rsidRPr="00C8003C">
        <w:rPr>
          <w:rtl/>
        </w:rPr>
        <w:t>לוה</w:t>
      </w:r>
      <w:proofErr w:type="spellEnd"/>
      <w:r w:rsidRPr="00C8003C">
        <w:rPr>
          <w:rtl/>
        </w:rPr>
        <w:t xml:space="preserve"> אדם תעניתו ופורע. כי </w:t>
      </w:r>
      <w:proofErr w:type="spellStart"/>
      <w:r w:rsidRPr="00C8003C">
        <w:rPr>
          <w:rtl/>
        </w:rPr>
        <w:t>אמריתה</w:t>
      </w:r>
      <w:proofErr w:type="spellEnd"/>
      <w:r w:rsidRPr="00C8003C">
        <w:rPr>
          <w:rtl/>
        </w:rPr>
        <w:t xml:space="preserve"> </w:t>
      </w:r>
      <w:proofErr w:type="spellStart"/>
      <w:r w:rsidRPr="00C8003C">
        <w:rPr>
          <w:rtl/>
        </w:rPr>
        <w:t>קמיה</w:t>
      </w:r>
      <w:proofErr w:type="spellEnd"/>
      <w:r w:rsidRPr="00C8003C">
        <w:rPr>
          <w:rtl/>
        </w:rPr>
        <w:t xml:space="preserve"> </w:t>
      </w:r>
      <w:proofErr w:type="spellStart"/>
      <w:r w:rsidRPr="00C8003C">
        <w:rPr>
          <w:rtl/>
        </w:rPr>
        <w:t>דשמואל</w:t>
      </w:r>
      <w:proofErr w:type="spellEnd"/>
      <w:r w:rsidRPr="00C8003C">
        <w:rPr>
          <w:rtl/>
        </w:rPr>
        <w:t xml:space="preserve">, אמר לי: פשיטא, לא יהא אלא נדר! נדר, מי לא מצי בעי לשלומי </w:t>
      </w:r>
      <w:proofErr w:type="spellStart"/>
      <w:r w:rsidRPr="00C8003C">
        <w:rPr>
          <w:rtl/>
        </w:rPr>
        <w:t>ומיזל</w:t>
      </w:r>
      <w:proofErr w:type="spellEnd"/>
      <w:r w:rsidRPr="00C8003C">
        <w:rPr>
          <w:rtl/>
        </w:rPr>
        <w:t xml:space="preserve"> למחר </w:t>
      </w:r>
      <w:proofErr w:type="spellStart"/>
      <w:r w:rsidRPr="00C8003C">
        <w:rPr>
          <w:rtl/>
        </w:rPr>
        <w:t>וליומא</w:t>
      </w:r>
      <w:proofErr w:type="spellEnd"/>
      <w:r w:rsidRPr="00C8003C">
        <w:rPr>
          <w:rtl/>
        </w:rPr>
        <w:t xml:space="preserve"> </w:t>
      </w:r>
      <w:proofErr w:type="spellStart"/>
      <w:r w:rsidRPr="00C8003C">
        <w:rPr>
          <w:rtl/>
        </w:rPr>
        <w:t>אחרינא</w:t>
      </w:r>
      <w:proofErr w:type="spellEnd"/>
      <w:r w:rsidRPr="00C8003C">
        <w:rPr>
          <w:rtl/>
        </w:rPr>
        <w:t xml:space="preserve">? רב יהושע בריה </w:t>
      </w:r>
      <w:proofErr w:type="spellStart"/>
      <w:r w:rsidRPr="00C8003C">
        <w:rPr>
          <w:rtl/>
        </w:rPr>
        <w:t>דרב</w:t>
      </w:r>
      <w:proofErr w:type="spellEnd"/>
      <w:r w:rsidRPr="00C8003C">
        <w:rPr>
          <w:rtl/>
        </w:rPr>
        <w:t xml:space="preserve"> </w:t>
      </w:r>
      <w:proofErr w:type="spellStart"/>
      <w:r w:rsidRPr="00C8003C">
        <w:rPr>
          <w:rtl/>
        </w:rPr>
        <w:t>אידי</w:t>
      </w:r>
      <w:proofErr w:type="spellEnd"/>
      <w:r w:rsidRPr="00C8003C">
        <w:rPr>
          <w:rtl/>
        </w:rPr>
        <w:t xml:space="preserve"> </w:t>
      </w:r>
      <w:proofErr w:type="spellStart"/>
      <w:r w:rsidRPr="00C8003C">
        <w:rPr>
          <w:rtl/>
        </w:rPr>
        <w:t>איקלע</w:t>
      </w:r>
      <w:proofErr w:type="spellEnd"/>
      <w:r w:rsidRPr="00C8003C">
        <w:rPr>
          <w:rtl/>
        </w:rPr>
        <w:t xml:space="preserve"> לבי רב אסי, עבדו ליה </w:t>
      </w:r>
      <w:proofErr w:type="spellStart"/>
      <w:r w:rsidRPr="00C8003C">
        <w:rPr>
          <w:rtl/>
        </w:rPr>
        <w:t>עגלא</w:t>
      </w:r>
      <w:proofErr w:type="spellEnd"/>
      <w:r w:rsidRPr="00C8003C">
        <w:rPr>
          <w:rtl/>
        </w:rPr>
        <w:t xml:space="preserve"> </w:t>
      </w:r>
      <w:proofErr w:type="spellStart"/>
      <w:r w:rsidRPr="00C8003C">
        <w:rPr>
          <w:rtl/>
        </w:rPr>
        <w:t>תילתא</w:t>
      </w:r>
      <w:proofErr w:type="spellEnd"/>
      <w:r w:rsidRPr="00C8003C">
        <w:rPr>
          <w:rtl/>
        </w:rPr>
        <w:t xml:space="preserve">. אמרו ליה: </w:t>
      </w:r>
      <w:proofErr w:type="spellStart"/>
      <w:r w:rsidRPr="00C8003C">
        <w:rPr>
          <w:rtl/>
        </w:rPr>
        <w:t>ליטעום</w:t>
      </w:r>
      <w:proofErr w:type="spellEnd"/>
      <w:r w:rsidRPr="00C8003C">
        <w:rPr>
          <w:rtl/>
        </w:rPr>
        <w:t xml:space="preserve"> מר מידי! - אמר להו: </w:t>
      </w:r>
      <w:proofErr w:type="spellStart"/>
      <w:r w:rsidRPr="00C8003C">
        <w:rPr>
          <w:rtl/>
        </w:rPr>
        <w:t>בתעניתא</w:t>
      </w:r>
      <w:proofErr w:type="spellEnd"/>
      <w:r w:rsidRPr="00C8003C">
        <w:rPr>
          <w:rtl/>
        </w:rPr>
        <w:t xml:space="preserve"> </w:t>
      </w:r>
      <w:proofErr w:type="spellStart"/>
      <w:r w:rsidRPr="00C8003C">
        <w:rPr>
          <w:rtl/>
        </w:rPr>
        <w:t>יתיבנא</w:t>
      </w:r>
      <w:proofErr w:type="spellEnd"/>
      <w:r w:rsidRPr="00C8003C">
        <w:rPr>
          <w:rtl/>
        </w:rPr>
        <w:t xml:space="preserve">. אמרו ליה: </w:t>
      </w:r>
      <w:proofErr w:type="spellStart"/>
      <w:r w:rsidRPr="00C8003C">
        <w:rPr>
          <w:rtl/>
        </w:rPr>
        <w:t>ולוזיף</w:t>
      </w:r>
      <w:proofErr w:type="spellEnd"/>
      <w:r w:rsidRPr="00C8003C">
        <w:rPr>
          <w:rtl/>
        </w:rPr>
        <w:t xml:space="preserve"> מר </w:t>
      </w:r>
      <w:proofErr w:type="spellStart"/>
      <w:r w:rsidRPr="00C8003C">
        <w:rPr>
          <w:rtl/>
        </w:rPr>
        <w:t>וליפרע</w:t>
      </w:r>
      <w:proofErr w:type="spellEnd"/>
      <w:r w:rsidRPr="00C8003C">
        <w:rPr>
          <w:rtl/>
        </w:rPr>
        <w:t xml:space="preserve">, לא סבר מר להא </w:t>
      </w:r>
      <w:proofErr w:type="spellStart"/>
      <w:r w:rsidRPr="00C8003C">
        <w:rPr>
          <w:rtl/>
        </w:rPr>
        <w:t>דאמר</w:t>
      </w:r>
      <w:proofErr w:type="spellEnd"/>
      <w:r w:rsidRPr="00C8003C">
        <w:rPr>
          <w:rtl/>
        </w:rPr>
        <w:t xml:space="preserve"> רב יהודה אמר רב: </w:t>
      </w:r>
      <w:proofErr w:type="spellStart"/>
      <w:r w:rsidRPr="00C8003C">
        <w:rPr>
          <w:rtl/>
        </w:rPr>
        <w:t>לוה</w:t>
      </w:r>
      <w:proofErr w:type="spellEnd"/>
      <w:r w:rsidRPr="00C8003C">
        <w:rPr>
          <w:rtl/>
        </w:rPr>
        <w:t xml:space="preserve"> אדם תעניתו ופורע? - אמר להו: תענית חלום הוא. ואמר רבה בר </w:t>
      </w:r>
      <w:proofErr w:type="spellStart"/>
      <w:r w:rsidRPr="00C8003C">
        <w:rPr>
          <w:rtl/>
        </w:rPr>
        <w:t>מחסיא</w:t>
      </w:r>
      <w:proofErr w:type="spellEnd"/>
      <w:r w:rsidRPr="00C8003C">
        <w:rPr>
          <w:rtl/>
        </w:rPr>
        <w:t xml:space="preserve"> אמר רב </w:t>
      </w:r>
      <w:proofErr w:type="spellStart"/>
      <w:r w:rsidRPr="00C8003C">
        <w:rPr>
          <w:rtl/>
        </w:rPr>
        <w:t>חמא</w:t>
      </w:r>
      <w:proofErr w:type="spellEnd"/>
      <w:r w:rsidRPr="00C8003C">
        <w:rPr>
          <w:rtl/>
        </w:rPr>
        <w:t xml:space="preserve"> בר </w:t>
      </w:r>
      <w:proofErr w:type="spellStart"/>
      <w:r w:rsidRPr="00C8003C">
        <w:rPr>
          <w:rtl/>
        </w:rPr>
        <w:t>גוריא</w:t>
      </w:r>
      <w:proofErr w:type="spellEnd"/>
      <w:r w:rsidRPr="00C8003C">
        <w:rPr>
          <w:rtl/>
        </w:rPr>
        <w:t xml:space="preserve"> אמר רב: יפה תענית לחלום כאש לנעורת. (אמר) +מסורת </w:t>
      </w:r>
      <w:proofErr w:type="spellStart"/>
      <w:r w:rsidRPr="00C8003C">
        <w:rPr>
          <w:rtl/>
        </w:rPr>
        <w:t>הש"ס</w:t>
      </w:r>
      <w:proofErr w:type="spellEnd"/>
      <w:r w:rsidRPr="00C8003C">
        <w:rPr>
          <w:rtl/>
        </w:rPr>
        <w:t xml:space="preserve">: ואמר+ רב </w:t>
      </w:r>
      <w:proofErr w:type="spellStart"/>
      <w:r w:rsidRPr="00C8003C">
        <w:rPr>
          <w:rtl/>
        </w:rPr>
        <w:t>חסדא</w:t>
      </w:r>
      <w:proofErr w:type="spellEnd"/>
      <w:r w:rsidRPr="00C8003C">
        <w:rPr>
          <w:rtl/>
        </w:rPr>
        <w:t>: ובו ביום. ואמר רב יוסף: ואפילו בשבת. מאי</w:t>
      </w:r>
      <w:r>
        <w:rPr>
          <w:rtl/>
        </w:rPr>
        <w:t xml:space="preserve"> </w:t>
      </w:r>
      <w:proofErr w:type="spellStart"/>
      <w:r>
        <w:rPr>
          <w:rtl/>
        </w:rPr>
        <w:t>תקנתיה</w:t>
      </w:r>
      <w:proofErr w:type="spellEnd"/>
      <w:r>
        <w:rPr>
          <w:rtl/>
        </w:rPr>
        <w:t xml:space="preserve">? - ליתיב </w:t>
      </w:r>
      <w:proofErr w:type="spellStart"/>
      <w:r>
        <w:rPr>
          <w:rtl/>
        </w:rPr>
        <w:t>תעניתא</w:t>
      </w:r>
      <w:proofErr w:type="spellEnd"/>
      <w:r>
        <w:rPr>
          <w:rtl/>
        </w:rPr>
        <w:t xml:space="preserve"> </w:t>
      </w:r>
      <w:proofErr w:type="spellStart"/>
      <w:r>
        <w:rPr>
          <w:rtl/>
        </w:rPr>
        <w:t>לתעניתא</w:t>
      </w:r>
      <w:proofErr w:type="spellEnd"/>
    </w:p>
    <w:p w14:paraId="25EF0082" w14:textId="0EE6D845" w:rsidR="00C8003C" w:rsidRDefault="00C8003C" w:rsidP="00C8003C">
      <w:pPr>
        <w:pStyle w:val="Heading2"/>
        <w:rPr>
          <w:rtl/>
        </w:rPr>
      </w:pPr>
      <w:r>
        <w:rPr>
          <w:rtl/>
        </w:rPr>
        <w:t>ת</w:t>
      </w:r>
      <w:r>
        <w:rPr>
          <w:rFonts w:hint="cs"/>
          <w:rtl/>
        </w:rPr>
        <w:t>וספות תענית יא: ד"ה אמר</w:t>
      </w:r>
    </w:p>
    <w:p w14:paraId="4579CF41" w14:textId="30B15B14" w:rsidR="00C8003C" w:rsidRPr="00C8003C" w:rsidRDefault="00C8003C" w:rsidP="00C8003C">
      <w:pPr>
        <w:rPr>
          <w:rtl/>
        </w:rPr>
      </w:pPr>
      <w:r w:rsidRPr="00C8003C">
        <w:rPr>
          <w:rtl/>
        </w:rPr>
        <w:t xml:space="preserve">אמר שמואל כל היושב בתענית נקרא חוטא - </w:t>
      </w:r>
      <w:proofErr w:type="spellStart"/>
      <w:r w:rsidRPr="00C8003C">
        <w:rPr>
          <w:rtl/>
        </w:rPr>
        <w:t>וקשיא</w:t>
      </w:r>
      <w:proofErr w:type="spellEnd"/>
      <w:r w:rsidRPr="00C8003C">
        <w:rPr>
          <w:rtl/>
        </w:rPr>
        <w:t xml:space="preserve"> </w:t>
      </w:r>
      <w:proofErr w:type="spellStart"/>
      <w:r w:rsidRPr="00C8003C">
        <w:rPr>
          <w:rtl/>
        </w:rPr>
        <w:t>דאמרינן</w:t>
      </w:r>
      <w:proofErr w:type="spellEnd"/>
      <w:r w:rsidRPr="00C8003C">
        <w:rPr>
          <w:rtl/>
        </w:rPr>
        <w:t xml:space="preserve"> </w:t>
      </w:r>
      <w:proofErr w:type="spellStart"/>
      <w:r w:rsidRPr="00C8003C">
        <w:rPr>
          <w:rtl/>
        </w:rPr>
        <w:t>בפ</w:t>
      </w:r>
      <w:proofErr w:type="spellEnd"/>
      <w:r w:rsidRPr="00C8003C">
        <w:rPr>
          <w:rtl/>
        </w:rPr>
        <w:t>' החובל (</w:t>
      </w:r>
      <w:proofErr w:type="spellStart"/>
      <w:r w:rsidRPr="00C8003C">
        <w:rPr>
          <w:rtl/>
        </w:rPr>
        <w:t>ב"ק</w:t>
      </w:r>
      <w:proofErr w:type="spellEnd"/>
      <w:r w:rsidRPr="00C8003C">
        <w:rPr>
          <w:rtl/>
        </w:rPr>
        <w:t xml:space="preserve"> דף צא: ושם) החובל בעצמו רשאי אבל אחרים שחבלו בו חייבים ומפרש התם הא </w:t>
      </w:r>
      <w:proofErr w:type="spellStart"/>
      <w:r w:rsidRPr="00C8003C">
        <w:rPr>
          <w:rtl/>
        </w:rPr>
        <w:t>דקאמר</w:t>
      </w:r>
      <w:proofErr w:type="spellEnd"/>
      <w:r w:rsidRPr="00C8003C">
        <w:rPr>
          <w:rtl/>
        </w:rPr>
        <w:t xml:space="preserve"> החובל בעצמו רשאי אמר שמואל ביושב בתענית </w:t>
      </w:r>
      <w:proofErr w:type="spellStart"/>
      <w:r w:rsidRPr="00C8003C">
        <w:rPr>
          <w:rtl/>
        </w:rPr>
        <w:t>אלמא</w:t>
      </w:r>
      <w:proofErr w:type="spellEnd"/>
      <w:r w:rsidRPr="00C8003C">
        <w:rPr>
          <w:rtl/>
        </w:rPr>
        <w:t xml:space="preserve"> משמע </w:t>
      </w:r>
      <w:proofErr w:type="spellStart"/>
      <w:r w:rsidRPr="00C8003C">
        <w:rPr>
          <w:rtl/>
        </w:rPr>
        <w:t>דשמואל</w:t>
      </w:r>
      <w:proofErr w:type="spellEnd"/>
      <w:r w:rsidRPr="00C8003C">
        <w:rPr>
          <w:rtl/>
        </w:rPr>
        <w:t xml:space="preserve"> </w:t>
      </w:r>
      <w:proofErr w:type="spellStart"/>
      <w:r w:rsidRPr="00C8003C">
        <w:rPr>
          <w:rtl/>
        </w:rPr>
        <w:t>קאמר</w:t>
      </w:r>
      <w:proofErr w:type="spellEnd"/>
      <w:r w:rsidRPr="00C8003C">
        <w:rPr>
          <w:rtl/>
        </w:rPr>
        <w:t xml:space="preserve"> </w:t>
      </w:r>
      <w:proofErr w:type="spellStart"/>
      <w:r w:rsidRPr="00C8003C">
        <w:rPr>
          <w:rtl/>
        </w:rPr>
        <w:t>דיושב</w:t>
      </w:r>
      <w:proofErr w:type="spellEnd"/>
      <w:r w:rsidRPr="00C8003C">
        <w:rPr>
          <w:rtl/>
        </w:rPr>
        <w:t xml:space="preserve"> בתענית לא נקרא חוטא ויש לומר דודאי הוי חוטא </w:t>
      </w:r>
      <w:proofErr w:type="spellStart"/>
      <w:r w:rsidRPr="00C8003C">
        <w:rPr>
          <w:rtl/>
        </w:rPr>
        <w:t>כדאמרינן</w:t>
      </w:r>
      <w:proofErr w:type="spellEnd"/>
      <w:r w:rsidRPr="00C8003C">
        <w:rPr>
          <w:rtl/>
        </w:rPr>
        <w:t xml:space="preserve"> הכא מקל וחומר מנזיר ומה נזיר שלא ציער עצמו אלא מיין וכו' אבל מכל מקום </w:t>
      </w:r>
      <w:proofErr w:type="spellStart"/>
      <w:r w:rsidRPr="00C8003C">
        <w:rPr>
          <w:rtl/>
        </w:rPr>
        <w:t>המצוה</w:t>
      </w:r>
      <w:proofErr w:type="spellEnd"/>
      <w:r w:rsidRPr="00C8003C">
        <w:rPr>
          <w:rtl/>
        </w:rPr>
        <w:t xml:space="preserve"> שהוא עושה התענית גדול יותר מן העבירה ממה שהוא מצער נפשו </w:t>
      </w:r>
      <w:proofErr w:type="spellStart"/>
      <w:r w:rsidRPr="00C8003C">
        <w:rPr>
          <w:rtl/>
        </w:rPr>
        <w:t>דמצוה</w:t>
      </w:r>
      <w:proofErr w:type="spellEnd"/>
      <w:r w:rsidRPr="00C8003C">
        <w:rPr>
          <w:rtl/>
        </w:rPr>
        <w:t xml:space="preserve"> לנדור </w:t>
      </w:r>
      <w:proofErr w:type="spellStart"/>
      <w:r w:rsidRPr="00C8003C">
        <w:rPr>
          <w:rtl/>
        </w:rPr>
        <w:t>כדאמרינן</w:t>
      </w:r>
      <w:proofErr w:type="spellEnd"/>
      <w:r w:rsidRPr="00C8003C">
        <w:rPr>
          <w:rtl/>
        </w:rPr>
        <w:t xml:space="preserve"> (סוטה דף ב.) הרואה סוטה בקלקולה </w:t>
      </w:r>
      <w:proofErr w:type="spellStart"/>
      <w:r w:rsidRPr="00C8003C">
        <w:rPr>
          <w:rtl/>
        </w:rPr>
        <w:t>יזיר</w:t>
      </w:r>
      <w:proofErr w:type="spellEnd"/>
      <w:r w:rsidRPr="00C8003C">
        <w:rPr>
          <w:rtl/>
        </w:rPr>
        <w:t xml:space="preserve"> עצמו מן היין ומכל מקום יש קצת חטא מידי דהוה </w:t>
      </w:r>
      <w:proofErr w:type="spellStart"/>
      <w:r w:rsidRPr="00C8003C">
        <w:rPr>
          <w:rtl/>
        </w:rPr>
        <w:t>אמתענה</w:t>
      </w:r>
      <w:proofErr w:type="spellEnd"/>
      <w:r w:rsidRPr="00C8003C">
        <w:rPr>
          <w:rtl/>
        </w:rPr>
        <w:t xml:space="preserve"> תענית חלום בשבת </w:t>
      </w:r>
      <w:proofErr w:type="spellStart"/>
      <w:r w:rsidRPr="00C8003C">
        <w:rPr>
          <w:rtl/>
        </w:rPr>
        <w:t>דקורעין</w:t>
      </w:r>
      <w:proofErr w:type="spellEnd"/>
      <w:r w:rsidRPr="00C8003C">
        <w:rPr>
          <w:rtl/>
        </w:rPr>
        <w:t xml:space="preserve"> גזר דינו </w:t>
      </w:r>
      <w:proofErr w:type="spellStart"/>
      <w:r w:rsidRPr="00C8003C">
        <w:rPr>
          <w:rtl/>
        </w:rPr>
        <w:t>ונפרעין</w:t>
      </w:r>
      <w:proofErr w:type="spellEnd"/>
      <w:r w:rsidRPr="00C8003C">
        <w:rPr>
          <w:rtl/>
        </w:rPr>
        <w:t xml:space="preserve"> ממנו תענית של שבת ומאי </w:t>
      </w:r>
      <w:proofErr w:type="spellStart"/>
      <w:r w:rsidRPr="00C8003C">
        <w:rPr>
          <w:rtl/>
        </w:rPr>
        <w:t>תקנתיה</w:t>
      </w:r>
      <w:proofErr w:type="spellEnd"/>
      <w:r w:rsidRPr="00C8003C">
        <w:rPr>
          <w:rtl/>
        </w:rPr>
        <w:t xml:space="preserve"> </w:t>
      </w:r>
      <w:proofErr w:type="spellStart"/>
      <w:r w:rsidRPr="00C8003C">
        <w:rPr>
          <w:rtl/>
        </w:rPr>
        <w:t>ליתב</w:t>
      </w:r>
      <w:proofErr w:type="spellEnd"/>
      <w:r w:rsidRPr="00C8003C">
        <w:rPr>
          <w:rtl/>
        </w:rPr>
        <w:t xml:space="preserve"> </w:t>
      </w:r>
      <w:proofErr w:type="spellStart"/>
      <w:r w:rsidRPr="00C8003C">
        <w:rPr>
          <w:rtl/>
        </w:rPr>
        <w:t>תעניתא</w:t>
      </w:r>
      <w:proofErr w:type="spellEnd"/>
      <w:r w:rsidRPr="00C8003C">
        <w:rPr>
          <w:rtl/>
        </w:rPr>
        <w:t xml:space="preserve"> </w:t>
      </w:r>
      <w:proofErr w:type="spellStart"/>
      <w:r w:rsidRPr="00C8003C">
        <w:rPr>
          <w:rtl/>
        </w:rPr>
        <w:t>לתעניתיה</w:t>
      </w:r>
      <w:proofErr w:type="spellEnd"/>
      <w:r w:rsidRPr="00C8003C">
        <w:rPr>
          <w:rtl/>
        </w:rPr>
        <w:t>.</w:t>
      </w:r>
    </w:p>
    <w:p w14:paraId="5DD54AC5" w14:textId="09D9100E" w:rsidR="00C8003C" w:rsidRDefault="00C8003C" w:rsidP="00C8003C">
      <w:pPr>
        <w:pStyle w:val="Heading2"/>
        <w:rPr>
          <w:rtl/>
        </w:rPr>
      </w:pPr>
      <w:r>
        <w:rPr>
          <w:rFonts w:hint="cs"/>
          <w:rtl/>
        </w:rPr>
        <w:t>מרומי שדה תענית יא:</w:t>
      </w:r>
    </w:p>
    <w:p w14:paraId="6749A088" w14:textId="67386DF1" w:rsidR="00C8003C" w:rsidRPr="00C8003C" w:rsidRDefault="00C8003C" w:rsidP="00C8003C">
      <w:pPr>
        <w:rPr>
          <w:rFonts w:hint="cs"/>
          <w:rtl/>
        </w:rPr>
      </w:pPr>
      <w:proofErr w:type="spellStart"/>
      <w:r w:rsidRPr="00C8003C">
        <w:rPr>
          <w:rtl/>
        </w:rPr>
        <w:t>תוס</w:t>
      </w:r>
      <w:proofErr w:type="spellEnd"/>
      <w:r w:rsidRPr="00C8003C">
        <w:rPr>
          <w:rtl/>
        </w:rPr>
        <w:t xml:space="preserve">'. ד"ה אמר שמואל </w:t>
      </w:r>
      <w:proofErr w:type="spellStart"/>
      <w:r w:rsidRPr="00C8003C">
        <w:rPr>
          <w:rtl/>
        </w:rPr>
        <w:t>כו</w:t>
      </w:r>
      <w:proofErr w:type="spellEnd"/>
      <w:r w:rsidRPr="00C8003C">
        <w:rPr>
          <w:rtl/>
        </w:rPr>
        <w:t xml:space="preserve">', </w:t>
      </w:r>
      <w:proofErr w:type="spellStart"/>
      <w:r w:rsidRPr="00C8003C">
        <w:rPr>
          <w:rtl/>
        </w:rPr>
        <w:t>וקשיא</w:t>
      </w:r>
      <w:proofErr w:type="spellEnd"/>
      <w:r w:rsidRPr="00C8003C">
        <w:rPr>
          <w:rtl/>
        </w:rPr>
        <w:t xml:space="preserve"> </w:t>
      </w:r>
      <w:proofErr w:type="spellStart"/>
      <w:r w:rsidRPr="00C8003C">
        <w:rPr>
          <w:rtl/>
        </w:rPr>
        <w:t>דאמרינן</w:t>
      </w:r>
      <w:proofErr w:type="spellEnd"/>
      <w:r w:rsidRPr="00C8003C">
        <w:rPr>
          <w:rtl/>
        </w:rPr>
        <w:t xml:space="preserve"> </w:t>
      </w:r>
      <w:proofErr w:type="spellStart"/>
      <w:r w:rsidRPr="00C8003C">
        <w:rPr>
          <w:rtl/>
        </w:rPr>
        <w:t>בפ</w:t>
      </w:r>
      <w:proofErr w:type="spellEnd"/>
      <w:r w:rsidRPr="00C8003C">
        <w:rPr>
          <w:rtl/>
        </w:rPr>
        <w:t xml:space="preserve">' החובל </w:t>
      </w:r>
      <w:proofErr w:type="spellStart"/>
      <w:r w:rsidRPr="00C8003C">
        <w:rPr>
          <w:rtl/>
        </w:rPr>
        <w:t>החובל</w:t>
      </w:r>
      <w:proofErr w:type="spellEnd"/>
      <w:r w:rsidRPr="00C8003C">
        <w:rPr>
          <w:rtl/>
        </w:rPr>
        <w:t xml:space="preserve"> בעצמו רשאי </w:t>
      </w:r>
      <w:proofErr w:type="spellStart"/>
      <w:r w:rsidRPr="00C8003C">
        <w:rPr>
          <w:rtl/>
        </w:rPr>
        <w:t>כו</w:t>
      </w:r>
      <w:proofErr w:type="spellEnd"/>
      <w:r w:rsidRPr="00C8003C">
        <w:rPr>
          <w:rtl/>
        </w:rPr>
        <w:t xml:space="preserve">'. והנה לפי </w:t>
      </w:r>
      <w:proofErr w:type="spellStart"/>
      <w:r w:rsidRPr="00C8003C">
        <w:rPr>
          <w:rtl/>
        </w:rPr>
        <w:t>המסקנא</w:t>
      </w:r>
      <w:proofErr w:type="spellEnd"/>
      <w:r w:rsidRPr="00C8003C">
        <w:rPr>
          <w:rtl/>
        </w:rPr>
        <w:t xml:space="preserve"> </w:t>
      </w:r>
      <w:proofErr w:type="spellStart"/>
      <w:r w:rsidRPr="00C8003C">
        <w:rPr>
          <w:rtl/>
        </w:rPr>
        <w:t>בב"ק</w:t>
      </w:r>
      <w:proofErr w:type="spellEnd"/>
      <w:r w:rsidRPr="00C8003C">
        <w:rPr>
          <w:rtl/>
        </w:rPr>
        <w:t xml:space="preserve"> שם </w:t>
      </w:r>
      <w:proofErr w:type="spellStart"/>
      <w:r w:rsidRPr="00C8003C">
        <w:rPr>
          <w:rtl/>
        </w:rPr>
        <w:t>דתנאי</w:t>
      </w:r>
      <w:proofErr w:type="spellEnd"/>
      <w:r w:rsidRPr="00C8003C">
        <w:rPr>
          <w:rtl/>
        </w:rPr>
        <w:t xml:space="preserve"> הוא בחובל ממש, ואיכא תנא </w:t>
      </w:r>
      <w:proofErr w:type="spellStart"/>
      <w:r w:rsidRPr="00C8003C">
        <w:rPr>
          <w:rtl/>
        </w:rPr>
        <w:t>דרשאי</w:t>
      </w:r>
      <w:proofErr w:type="spellEnd"/>
      <w:r w:rsidRPr="00C8003C">
        <w:rPr>
          <w:rtl/>
        </w:rPr>
        <w:t xml:space="preserve"> אפילו לחבול בעצמו, ואיכא תנא דאינו רשאי. והיינו </w:t>
      </w:r>
      <w:proofErr w:type="spellStart"/>
      <w:r w:rsidRPr="00C8003C">
        <w:rPr>
          <w:rtl/>
        </w:rPr>
        <w:t>דרשא</w:t>
      </w:r>
      <w:proofErr w:type="spellEnd"/>
      <w:r w:rsidRPr="00C8003C">
        <w:rPr>
          <w:rtl/>
        </w:rPr>
        <w:t xml:space="preserve"> </w:t>
      </w:r>
      <w:proofErr w:type="spellStart"/>
      <w:r w:rsidRPr="00C8003C">
        <w:rPr>
          <w:rtl/>
        </w:rPr>
        <w:t>דר"א</w:t>
      </w:r>
      <w:proofErr w:type="spellEnd"/>
      <w:r w:rsidRPr="00C8003C">
        <w:rPr>
          <w:rtl/>
        </w:rPr>
        <w:t xml:space="preserve"> </w:t>
      </w:r>
      <w:proofErr w:type="spellStart"/>
      <w:r w:rsidRPr="00C8003C">
        <w:rPr>
          <w:rtl/>
        </w:rPr>
        <w:t>הקפר</w:t>
      </w:r>
      <w:proofErr w:type="spellEnd"/>
      <w:r w:rsidRPr="00C8003C">
        <w:rPr>
          <w:rtl/>
        </w:rPr>
        <w:t xml:space="preserve">. א"כ לק"מ, </w:t>
      </w:r>
      <w:proofErr w:type="spellStart"/>
      <w:r w:rsidRPr="00C8003C">
        <w:rPr>
          <w:rtl/>
        </w:rPr>
        <w:t>דשמואל</w:t>
      </w:r>
      <w:proofErr w:type="spellEnd"/>
      <w:r w:rsidRPr="00C8003C">
        <w:rPr>
          <w:rtl/>
        </w:rPr>
        <w:t xml:space="preserve"> כאן </w:t>
      </w:r>
      <w:proofErr w:type="spellStart"/>
      <w:r w:rsidRPr="00C8003C">
        <w:rPr>
          <w:rtl/>
        </w:rPr>
        <w:t>אתיא</w:t>
      </w:r>
      <w:proofErr w:type="spellEnd"/>
      <w:r w:rsidRPr="00C8003C">
        <w:rPr>
          <w:rtl/>
        </w:rPr>
        <w:t xml:space="preserve"> </w:t>
      </w:r>
      <w:proofErr w:type="spellStart"/>
      <w:r w:rsidRPr="00C8003C">
        <w:rPr>
          <w:rtl/>
        </w:rPr>
        <w:t>כר"א</w:t>
      </w:r>
      <w:proofErr w:type="spellEnd"/>
      <w:r w:rsidRPr="00C8003C">
        <w:rPr>
          <w:rtl/>
        </w:rPr>
        <w:t xml:space="preserve"> </w:t>
      </w:r>
      <w:proofErr w:type="spellStart"/>
      <w:r w:rsidRPr="00C8003C">
        <w:rPr>
          <w:rtl/>
        </w:rPr>
        <w:t>הקפר</w:t>
      </w:r>
      <w:proofErr w:type="spellEnd"/>
      <w:r w:rsidRPr="00C8003C">
        <w:rPr>
          <w:rtl/>
        </w:rPr>
        <w:t xml:space="preserve">. והתם האי תנא דפליג ע"ז. אלא </w:t>
      </w:r>
      <w:proofErr w:type="spellStart"/>
      <w:r w:rsidRPr="00C8003C">
        <w:rPr>
          <w:rtl/>
        </w:rPr>
        <w:t>דקושייתם</w:t>
      </w:r>
      <w:proofErr w:type="spellEnd"/>
      <w:r w:rsidRPr="00C8003C">
        <w:rPr>
          <w:rtl/>
        </w:rPr>
        <w:t xml:space="preserve"> היא לפי מאי </w:t>
      </w:r>
      <w:proofErr w:type="spellStart"/>
      <w:r w:rsidRPr="00C8003C">
        <w:rPr>
          <w:rtl/>
        </w:rPr>
        <w:t>דס"ד</w:t>
      </w:r>
      <w:proofErr w:type="spellEnd"/>
      <w:r w:rsidRPr="00C8003C">
        <w:rPr>
          <w:rtl/>
        </w:rPr>
        <w:t xml:space="preserve"> </w:t>
      </w:r>
      <w:proofErr w:type="spellStart"/>
      <w:r w:rsidRPr="00C8003C">
        <w:rPr>
          <w:rtl/>
        </w:rPr>
        <w:t>דלחבול</w:t>
      </w:r>
      <w:proofErr w:type="spellEnd"/>
      <w:r w:rsidRPr="00C8003C">
        <w:rPr>
          <w:rtl/>
        </w:rPr>
        <w:t xml:space="preserve"> </w:t>
      </w:r>
      <w:proofErr w:type="spellStart"/>
      <w:r w:rsidRPr="00C8003C">
        <w:rPr>
          <w:rtl/>
        </w:rPr>
        <w:t>לכו"ע</w:t>
      </w:r>
      <w:proofErr w:type="spellEnd"/>
      <w:r w:rsidRPr="00C8003C">
        <w:rPr>
          <w:rtl/>
        </w:rPr>
        <w:t xml:space="preserve"> אינו רשאי, ורק להתענות רשאי. ולא מוקי לה בתנאי, ע"ז הקשו שפיר דהרי גם תענית אסור </w:t>
      </w:r>
      <w:proofErr w:type="spellStart"/>
      <w:r w:rsidRPr="00C8003C">
        <w:rPr>
          <w:rtl/>
        </w:rPr>
        <w:t>לר"א</w:t>
      </w:r>
      <w:proofErr w:type="spellEnd"/>
      <w:r w:rsidRPr="00C8003C">
        <w:rPr>
          <w:rtl/>
        </w:rPr>
        <w:t xml:space="preserve"> </w:t>
      </w:r>
      <w:proofErr w:type="spellStart"/>
      <w:r w:rsidRPr="00C8003C">
        <w:rPr>
          <w:rtl/>
        </w:rPr>
        <w:t>הקפר</w:t>
      </w:r>
      <w:proofErr w:type="spellEnd"/>
      <w:r w:rsidRPr="00C8003C">
        <w:rPr>
          <w:rtl/>
        </w:rPr>
        <w:t xml:space="preserve"> וכשמואל כאן. וע"ז יישבו דודאי יש </w:t>
      </w:r>
      <w:proofErr w:type="spellStart"/>
      <w:r w:rsidRPr="00C8003C">
        <w:rPr>
          <w:rtl/>
        </w:rPr>
        <w:t>נפ"מ</w:t>
      </w:r>
      <w:proofErr w:type="spellEnd"/>
      <w:r w:rsidRPr="00C8003C">
        <w:rPr>
          <w:rtl/>
        </w:rPr>
        <w:t xml:space="preserve"> בין לחבול </w:t>
      </w:r>
      <w:proofErr w:type="spellStart"/>
      <w:r w:rsidRPr="00C8003C">
        <w:rPr>
          <w:rtl/>
        </w:rPr>
        <w:t>דאין</w:t>
      </w:r>
      <w:proofErr w:type="spellEnd"/>
      <w:r w:rsidRPr="00C8003C">
        <w:rPr>
          <w:rtl/>
        </w:rPr>
        <w:t xml:space="preserve"> שום מצוה בזה </w:t>
      </w:r>
      <w:proofErr w:type="spellStart"/>
      <w:r w:rsidRPr="00C8003C">
        <w:rPr>
          <w:rtl/>
        </w:rPr>
        <w:t>לכו"ע</w:t>
      </w:r>
      <w:proofErr w:type="spellEnd"/>
      <w:r w:rsidRPr="00C8003C">
        <w:rPr>
          <w:rtl/>
        </w:rPr>
        <w:t xml:space="preserve"> אסור </w:t>
      </w:r>
      <w:proofErr w:type="spellStart"/>
      <w:r w:rsidRPr="00C8003C">
        <w:rPr>
          <w:rtl/>
        </w:rPr>
        <w:t>להאי</w:t>
      </w:r>
      <w:proofErr w:type="spellEnd"/>
      <w:r w:rsidRPr="00C8003C">
        <w:rPr>
          <w:rtl/>
        </w:rPr>
        <w:t xml:space="preserve"> יישוב, אבל להתענות אע"ג דהוי ג"כ איסור, </w:t>
      </w:r>
      <w:proofErr w:type="spellStart"/>
      <w:r w:rsidRPr="00C8003C">
        <w:rPr>
          <w:rtl/>
        </w:rPr>
        <w:t>מכ"מ</w:t>
      </w:r>
      <w:proofErr w:type="spellEnd"/>
      <w:r w:rsidRPr="00C8003C">
        <w:rPr>
          <w:rtl/>
        </w:rPr>
        <w:t xml:space="preserve"> קורא שם </w:t>
      </w:r>
      <w:proofErr w:type="spellStart"/>
      <w:r w:rsidRPr="00C8003C">
        <w:rPr>
          <w:rtl/>
        </w:rPr>
        <w:t>דרשאי</w:t>
      </w:r>
      <w:proofErr w:type="spellEnd"/>
      <w:r w:rsidRPr="00C8003C">
        <w:rPr>
          <w:rtl/>
        </w:rPr>
        <w:t xml:space="preserve"> להרע לעצמו, משום </w:t>
      </w:r>
      <w:proofErr w:type="spellStart"/>
      <w:r w:rsidRPr="00C8003C">
        <w:rPr>
          <w:rtl/>
        </w:rPr>
        <w:t>דמצוה</w:t>
      </w:r>
      <w:proofErr w:type="spellEnd"/>
      <w:r w:rsidRPr="00C8003C">
        <w:rPr>
          <w:rtl/>
        </w:rPr>
        <w:t xml:space="preserve"> ג"כ איכא. </w:t>
      </w:r>
      <w:proofErr w:type="spellStart"/>
      <w:r w:rsidRPr="00C8003C">
        <w:rPr>
          <w:rtl/>
        </w:rPr>
        <w:t>וכיוב"ז</w:t>
      </w:r>
      <w:proofErr w:type="spellEnd"/>
      <w:r w:rsidRPr="00C8003C">
        <w:rPr>
          <w:rtl/>
        </w:rPr>
        <w:t xml:space="preserve"> ביושב בתענית בשבת, </w:t>
      </w:r>
      <w:proofErr w:type="spellStart"/>
      <w:r w:rsidRPr="00C8003C">
        <w:rPr>
          <w:rtl/>
        </w:rPr>
        <w:t>דהא</w:t>
      </w:r>
      <w:proofErr w:type="spellEnd"/>
      <w:r w:rsidRPr="00C8003C">
        <w:rPr>
          <w:rtl/>
        </w:rPr>
        <w:t xml:space="preserve"> ודאי אינו דומה לעושה מלאכה בשבת משום </w:t>
      </w:r>
      <w:proofErr w:type="spellStart"/>
      <w:r w:rsidRPr="00C8003C">
        <w:rPr>
          <w:rtl/>
        </w:rPr>
        <w:t>פקו"נ</w:t>
      </w:r>
      <w:proofErr w:type="spellEnd"/>
      <w:r w:rsidRPr="00C8003C">
        <w:rPr>
          <w:rtl/>
        </w:rPr>
        <w:t xml:space="preserve">, </w:t>
      </w:r>
      <w:proofErr w:type="spellStart"/>
      <w:r w:rsidRPr="00C8003C">
        <w:rPr>
          <w:rtl/>
        </w:rPr>
        <w:t>דא"כ</w:t>
      </w:r>
      <w:proofErr w:type="spellEnd"/>
      <w:r w:rsidRPr="00C8003C">
        <w:rPr>
          <w:rtl/>
        </w:rPr>
        <w:t xml:space="preserve"> </w:t>
      </w:r>
      <w:proofErr w:type="spellStart"/>
      <w:r w:rsidRPr="00C8003C">
        <w:rPr>
          <w:rtl/>
        </w:rPr>
        <w:t>אמאי</w:t>
      </w:r>
      <w:proofErr w:type="spellEnd"/>
      <w:r w:rsidRPr="00C8003C">
        <w:rPr>
          <w:rtl/>
        </w:rPr>
        <w:t xml:space="preserve"> צריך כאן תענית לתעניתו, </w:t>
      </w:r>
      <w:proofErr w:type="spellStart"/>
      <w:r w:rsidRPr="00C8003C">
        <w:rPr>
          <w:rtl/>
        </w:rPr>
        <w:t>משא"כ</w:t>
      </w:r>
      <w:proofErr w:type="spellEnd"/>
      <w:r w:rsidRPr="00C8003C">
        <w:rPr>
          <w:rtl/>
        </w:rPr>
        <w:t xml:space="preserve"> במחלל שבת משום סכנה. אלא ודאי אינו דומה דיחוי זה להא </w:t>
      </w:r>
      <w:proofErr w:type="spellStart"/>
      <w:r w:rsidRPr="00C8003C">
        <w:rPr>
          <w:rtl/>
        </w:rPr>
        <w:t>דפקו"נ</w:t>
      </w:r>
      <w:proofErr w:type="spellEnd"/>
      <w:r w:rsidRPr="00C8003C">
        <w:rPr>
          <w:rtl/>
        </w:rPr>
        <w:t xml:space="preserve"> שדוחה שבת או עשה שדוחה ל"ת, שהרי לא מצינו שם קרבן. אלא ודאי משונה דין המתענה בשבת. </w:t>
      </w:r>
      <w:proofErr w:type="spellStart"/>
      <w:r w:rsidRPr="00C8003C">
        <w:rPr>
          <w:rtl/>
        </w:rPr>
        <w:t>וה"נ</w:t>
      </w:r>
      <w:proofErr w:type="spellEnd"/>
      <w:r w:rsidRPr="00C8003C">
        <w:rPr>
          <w:rtl/>
        </w:rPr>
        <w:t xml:space="preserve"> הנודר להתענות אע"ג שנקרא חוטא, </w:t>
      </w:r>
      <w:proofErr w:type="spellStart"/>
      <w:r w:rsidRPr="00C8003C">
        <w:rPr>
          <w:rtl/>
        </w:rPr>
        <w:t>מכ"מ</w:t>
      </w:r>
      <w:proofErr w:type="spellEnd"/>
      <w:r w:rsidRPr="00C8003C">
        <w:rPr>
          <w:rtl/>
        </w:rPr>
        <w:t xml:space="preserve"> מצוה </w:t>
      </w:r>
      <w:proofErr w:type="spellStart"/>
      <w:r w:rsidRPr="00C8003C">
        <w:rPr>
          <w:rtl/>
        </w:rPr>
        <w:t>קעביד</w:t>
      </w:r>
      <w:proofErr w:type="spellEnd"/>
      <w:r w:rsidRPr="00C8003C">
        <w:rPr>
          <w:rtl/>
        </w:rPr>
        <w:t xml:space="preserve"> ונקרא רשות:</w:t>
      </w:r>
    </w:p>
    <w:p w14:paraId="6AF31861" w14:textId="0AFB42B8" w:rsidR="00F13532" w:rsidRDefault="00F13532" w:rsidP="00856CAB">
      <w:pPr>
        <w:pStyle w:val="Heading1"/>
        <w:rPr>
          <w:rtl/>
        </w:rPr>
      </w:pPr>
      <w:r>
        <w:rPr>
          <w:rFonts w:hint="cs"/>
          <w:rtl/>
        </w:rPr>
        <w:lastRenderedPageBreak/>
        <w:t xml:space="preserve">קריאת התורה </w:t>
      </w:r>
      <w:r>
        <w:rPr>
          <w:rtl/>
        </w:rPr>
        <w:t>–</w:t>
      </w:r>
      <w:r>
        <w:rPr>
          <w:rFonts w:hint="cs"/>
          <w:rtl/>
        </w:rPr>
        <w:t xml:space="preserve"> חזק חזק ונתחזק</w:t>
      </w:r>
    </w:p>
    <w:p w14:paraId="643B3B86" w14:textId="6E81F46B" w:rsidR="00F13532" w:rsidRDefault="00F13532" w:rsidP="00F13532">
      <w:pPr>
        <w:pStyle w:val="Heading2"/>
        <w:rPr>
          <w:rtl/>
        </w:rPr>
      </w:pPr>
      <w:r>
        <w:rPr>
          <w:rFonts w:hint="cs"/>
          <w:rtl/>
        </w:rPr>
        <w:t xml:space="preserve">שלחן ערוך אורח חיים </w:t>
      </w:r>
      <w:proofErr w:type="spellStart"/>
      <w:r>
        <w:rPr>
          <w:rFonts w:hint="cs"/>
          <w:rtl/>
        </w:rPr>
        <w:t>קלט:יא</w:t>
      </w:r>
      <w:proofErr w:type="spellEnd"/>
    </w:p>
    <w:p w14:paraId="37BE060D" w14:textId="4DDBB199" w:rsidR="00ED3B21" w:rsidRPr="00ED3B21" w:rsidRDefault="00F13532" w:rsidP="00ED3B21">
      <w:pPr>
        <w:rPr>
          <w:rFonts w:hint="cs"/>
          <w:sz w:val="18"/>
          <w:szCs w:val="18"/>
          <w:rtl/>
        </w:rPr>
      </w:pPr>
      <w:r w:rsidRPr="00F13532">
        <w:rPr>
          <w:rtl/>
        </w:rPr>
        <w:t xml:space="preserve">הקורא בתורה </w:t>
      </w:r>
      <w:r>
        <w:rPr>
          <w:rtl/>
        </w:rPr>
        <w:t>צריך לאחוז בספר תורה</w:t>
      </w:r>
      <w:r w:rsidRPr="00F13532">
        <w:rPr>
          <w:rtl/>
        </w:rPr>
        <w:t xml:space="preserve"> בשעת ברכה.</w:t>
      </w:r>
      <w:r w:rsidRPr="00F13532">
        <w:rPr>
          <w:sz w:val="18"/>
          <w:szCs w:val="18"/>
          <w:rtl/>
        </w:rPr>
        <w:t xml:space="preserve"> הגה: וסמכו מנהג זה על מה</w:t>
      </w:r>
      <w:r>
        <w:rPr>
          <w:sz w:val="18"/>
          <w:szCs w:val="18"/>
          <w:rtl/>
        </w:rPr>
        <w:t xml:space="preserve"> שנאמר ביהושע לא ימוש </w:t>
      </w:r>
      <w:r w:rsidRPr="00F13532">
        <w:rPr>
          <w:sz w:val="18"/>
          <w:szCs w:val="18"/>
          <w:rtl/>
        </w:rPr>
        <w:t>ספר התורה הזה מפ</w:t>
      </w:r>
      <w:r>
        <w:rPr>
          <w:sz w:val="18"/>
          <w:szCs w:val="18"/>
          <w:rtl/>
        </w:rPr>
        <w:t>יך חזק ואמץ (יהושע א, ח - ט)</w:t>
      </w:r>
      <w:r w:rsidRPr="00F13532">
        <w:rPr>
          <w:sz w:val="18"/>
          <w:szCs w:val="18"/>
          <w:rtl/>
        </w:rPr>
        <w:t xml:space="preserve"> ומזה נהגו לומר למסיים לקרות בתורה בכל פעם חזק (ב"י בשם אורח חיים).</w:t>
      </w:r>
      <w:r w:rsidR="00ED3B21">
        <w:rPr>
          <w:rStyle w:val="FootnoteReference"/>
          <w:sz w:val="18"/>
          <w:szCs w:val="18"/>
          <w:rtl/>
        </w:rPr>
        <w:footnoteReference w:id="1"/>
      </w:r>
    </w:p>
    <w:p w14:paraId="38784E4B" w14:textId="13276FA7" w:rsidR="00856CAB" w:rsidRDefault="00856CAB" w:rsidP="00856CAB">
      <w:pPr>
        <w:pStyle w:val="Heading1"/>
        <w:rPr>
          <w:rtl/>
        </w:rPr>
      </w:pPr>
      <w:r>
        <w:rPr>
          <w:rFonts w:hint="cs"/>
          <w:rtl/>
        </w:rPr>
        <w:t xml:space="preserve">תפילה </w:t>
      </w:r>
      <w:r>
        <w:rPr>
          <w:rtl/>
        </w:rPr>
        <w:t>–</w:t>
      </w:r>
      <w:r>
        <w:rPr>
          <w:rFonts w:hint="cs"/>
          <w:rtl/>
        </w:rPr>
        <w:t xml:space="preserve"> יגדל</w:t>
      </w:r>
    </w:p>
    <w:p w14:paraId="69EDA145" w14:textId="53060E11" w:rsidR="00856CAB" w:rsidRDefault="00856CAB" w:rsidP="00856CAB">
      <w:pPr>
        <w:pStyle w:val="Heading2"/>
        <w:rPr>
          <w:rtl/>
        </w:rPr>
      </w:pPr>
      <w:r>
        <w:rPr>
          <w:rFonts w:hint="cs"/>
          <w:rtl/>
        </w:rPr>
        <w:t xml:space="preserve">נפש הרב עמ' </w:t>
      </w:r>
      <w:proofErr w:type="spellStart"/>
      <w:r>
        <w:rPr>
          <w:rFonts w:hint="cs"/>
          <w:rtl/>
        </w:rPr>
        <w:t>קסה</w:t>
      </w:r>
      <w:proofErr w:type="spellEnd"/>
    </w:p>
    <w:p w14:paraId="2A567C51" w14:textId="2C88197E" w:rsidR="00856CAB" w:rsidRDefault="00856CAB" w:rsidP="00856CAB">
      <w:pPr>
        <w:pStyle w:val="Heading2"/>
      </w:pPr>
      <w:r>
        <w:rPr>
          <w:rtl/>
        </w:rPr>
        <w:t>נ</w:t>
      </w:r>
      <w:r>
        <w:rPr>
          <w:rFonts w:hint="cs"/>
          <w:rtl/>
        </w:rPr>
        <w:t xml:space="preserve">פש הרב עמ' </w:t>
      </w:r>
      <w:proofErr w:type="spellStart"/>
      <w:r>
        <w:rPr>
          <w:rFonts w:hint="cs"/>
          <w:rtl/>
        </w:rPr>
        <w:t>רלא</w:t>
      </w:r>
      <w:proofErr w:type="spellEnd"/>
    </w:p>
    <w:p w14:paraId="4DF43D14" w14:textId="601F87CB" w:rsidR="00856CAB" w:rsidRPr="00C910EA" w:rsidRDefault="00C910EA" w:rsidP="00856CAB">
      <w:pPr>
        <w:pStyle w:val="Heading2"/>
        <w:rPr>
          <w:rStyle w:val="Hyperlink"/>
          <w:rtl/>
        </w:rPr>
      </w:pPr>
      <w:r>
        <w:rPr>
          <w:rtl/>
        </w:rPr>
        <w:fldChar w:fldCharType="begin"/>
      </w:r>
      <w:r>
        <w:rPr>
          <w:rtl/>
        </w:rPr>
        <w:instrText xml:space="preserve"> </w:instrText>
      </w:r>
      <w:r>
        <w:instrText>HYPERLINK</w:instrText>
      </w:r>
      <w:r>
        <w:rPr>
          <w:rtl/>
        </w:rPr>
        <w:instrText xml:space="preserve"> "</w:instrText>
      </w:r>
      <w:r>
        <w:instrText>http://www.hebrewbooks.org/pdfpager.aspx?req=52515&amp;st=&amp;pgnum=12</w:instrText>
      </w:r>
      <w:r>
        <w:rPr>
          <w:rtl/>
        </w:rPr>
        <w:instrText xml:space="preserve">" </w:instrText>
      </w:r>
      <w:r>
        <w:rPr>
          <w:rtl/>
        </w:rPr>
        <w:fldChar w:fldCharType="separate"/>
      </w:r>
      <w:r w:rsidR="00856CAB" w:rsidRPr="00C910EA">
        <w:rPr>
          <w:rStyle w:val="Hyperlink"/>
          <w:rFonts w:hint="cs"/>
          <w:rtl/>
        </w:rPr>
        <w:t xml:space="preserve">משאת כפי </w:t>
      </w:r>
      <w:r w:rsidR="00B53BF2">
        <w:rPr>
          <w:rStyle w:val="Hyperlink"/>
          <w:rFonts w:hint="cs"/>
          <w:rtl/>
        </w:rPr>
        <w:t xml:space="preserve">(הרב דוד כהן) </w:t>
      </w:r>
      <w:r w:rsidR="00856CAB" w:rsidRPr="00C910EA">
        <w:rPr>
          <w:rStyle w:val="Hyperlink"/>
          <w:rFonts w:hint="cs"/>
          <w:rtl/>
        </w:rPr>
        <w:t xml:space="preserve">חלק א עמ' </w:t>
      </w:r>
      <w:proofErr w:type="spellStart"/>
      <w:r w:rsidR="00856CAB" w:rsidRPr="00C910EA">
        <w:rPr>
          <w:rStyle w:val="Hyperlink"/>
          <w:rFonts w:hint="cs"/>
          <w:rtl/>
        </w:rPr>
        <w:t>יב</w:t>
      </w:r>
      <w:proofErr w:type="spellEnd"/>
      <w:r w:rsidR="00856CAB" w:rsidRPr="00C910EA">
        <w:rPr>
          <w:rStyle w:val="Hyperlink"/>
          <w:rFonts w:hint="cs"/>
          <w:rtl/>
        </w:rPr>
        <w:t xml:space="preserve"> </w:t>
      </w:r>
    </w:p>
    <w:p w14:paraId="0BAE2E77" w14:textId="485BC8BA" w:rsidR="00856CAB" w:rsidRDefault="00C910EA" w:rsidP="00856CAB">
      <w:pPr>
        <w:pStyle w:val="Heading2"/>
        <w:rPr>
          <w:rtl/>
        </w:rPr>
      </w:pPr>
      <w:r>
        <w:rPr>
          <w:rtl/>
        </w:rPr>
        <w:fldChar w:fldCharType="end"/>
      </w:r>
      <w:hyperlink r:id="rId6" w:history="1">
        <w:r w:rsidR="00856CAB" w:rsidRPr="0036546F">
          <w:rPr>
            <w:rStyle w:val="Hyperlink"/>
            <w:rFonts w:hint="cs"/>
            <w:rtl/>
          </w:rPr>
          <w:t xml:space="preserve">משאת כפי </w:t>
        </w:r>
        <w:r w:rsidR="00B53BF2">
          <w:rPr>
            <w:rStyle w:val="Hyperlink"/>
            <w:rFonts w:hint="cs"/>
            <w:rtl/>
          </w:rPr>
          <w:t xml:space="preserve">חלק א </w:t>
        </w:r>
        <w:r w:rsidR="00856CAB" w:rsidRPr="0036546F">
          <w:rPr>
            <w:rStyle w:val="Hyperlink"/>
            <w:rFonts w:hint="cs"/>
            <w:rtl/>
          </w:rPr>
          <w:t>עמ' קפד</w:t>
        </w:r>
      </w:hyperlink>
    </w:p>
    <w:p w14:paraId="7A055435" w14:textId="4D815163" w:rsidR="00856CAB" w:rsidRDefault="00856CAB" w:rsidP="00856CAB">
      <w:r>
        <w:rPr>
          <w:noProof/>
        </w:rPr>
        <w:drawing>
          <wp:inline distT="0" distB="0" distL="0" distR="0" wp14:anchorId="48EF6F75" wp14:editId="22262850">
            <wp:extent cx="5943600" cy="309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90545"/>
                    </a:xfrm>
                    <a:prstGeom prst="rect">
                      <a:avLst/>
                    </a:prstGeom>
                  </pic:spPr>
                </pic:pic>
              </a:graphicData>
            </a:graphic>
          </wp:inline>
        </w:drawing>
      </w:r>
    </w:p>
    <w:p w14:paraId="751C2DA9" w14:textId="4A95BCF0" w:rsidR="00E42B6E" w:rsidRDefault="00ED3B21" w:rsidP="00E42B6E">
      <w:pPr>
        <w:pStyle w:val="Heading2"/>
      </w:pPr>
      <w:hyperlink r:id="rId8" w:history="1">
        <w:r w:rsidR="00E42B6E" w:rsidRPr="00E42B6E">
          <w:rPr>
            <w:rStyle w:val="Hyperlink"/>
            <w:rFonts w:hint="cs"/>
            <w:rtl/>
          </w:rPr>
          <w:t>משאת כפי חלק ב עמ' ז</w:t>
        </w:r>
      </w:hyperlink>
      <w:r w:rsidR="00624958">
        <w:rPr>
          <w:rStyle w:val="FootnoteReference"/>
          <w:rtl/>
        </w:rPr>
        <w:footnoteReference w:id="2"/>
      </w:r>
    </w:p>
    <w:p w14:paraId="203ACBF3" w14:textId="77777777" w:rsidR="00E00AC2" w:rsidRDefault="00E00AC2" w:rsidP="00E00AC2">
      <w:pPr>
        <w:pStyle w:val="Heading1"/>
        <w:rPr>
          <w:rtl/>
        </w:rPr>
      </w:pPr>
      <w:r>
        <w:rPr>
          <w:rFonts w:hint="cs"/>
          <w:rtl/>
        </w:rPr>
        <w:t xml:space="preserve">ברכת </w:t>
      </w:r>
      <w:proofErr w:type="spellStart"/>
      <w:r>
        <w:rPr>
          <w:rFonts w:hint="cs"/>
          <w:rtl/>
        </w:rPr>
        <w:t>כהנים</w:t>
      </w:r>
      <w:proofErr w:type="spellEnd"/>
      <w:r>
        <w:rPr>
          <w:rFonts w:hint="cs"/>
          <w:rtl/>
        </w:rPr>
        <w:t xml:space="preserve"> </w:t>
      </w:r>
      <w:r>
        <w:rPr>
          <w:rtl/>
        </w:rPr>
        <w:t>–</w:t>
      </w:r>
      <w:r>
        <w:rPr>
          <w:rFonts w:hint="cs"/>
          <w:rtl/>
        </w:rPr>
        <w:t xml:space="preserve"> כהן שהרג את הנפש</w:t>
      </w:r>
    </w:p>
    <w:p w14:paraId="0AAEDBB5" w14:textId="77777777" w:rsidR="00E00AC2" w:rsidRDefault="00E00AC2" w:rsidP="00E00AC2">
      <w:pPr>
        <w:pStyle w:val="Heading2"/>
        <w:rPr>
          <w:rtl/>
        </w:rPr>
      </w:pPr>
      <w:r>
        <w:rPr>
          <w:rFonts w:hint="cs"/>
          <w:rtl/>
        </w:rPr>
        <w:t xml:space="preserve">שלחן ערוך אורח חיים </w:t>
      </w:r>
      <w:proofErr w:type="spellStart"/>
      <w:r>
        <w:rPr>
          <w:rFonts w:hint="cs"/>
          <w:rtl/>
        </w:rPr>
        <w:t>קכח:לה</w:t>
      </w:r>
      <w:proofErr w:type="spellEnd"/>
    </w:p>
    <w:p w14:paraId="712F6B98" w14:textId="77777777" w:rsidR="00E00AC2" w:rsidRDefault="00E00AC2" w:rsidP="00E00AC2">
      <w:pPr>
        <w:pStyle w:val="Heading2"/>
        <w:rPr>
          <w:rtl/>
        </w:rPr>
      </w:pPr>
      <w:r>
        <w:rPr>
          <w:rtl/>
        </w:rPr>
        <w:t xml:space="preserve">שו"ת </w:t>
      </w:r>
      <w:proofErr w:type="spellStart"/>
      <w:r>
        <w:rPr>
          <w:rtl/>
        </w:rPr>
        <w:t>יחוה</w:t>
      </w:r>
      <w:proofErr w:type="spellEnd"/>
      <w:r>
        <w:rPr>
          <w:rtl/>
        </w:rPr>
        <w:t xml:space="preserve"> דעת חלק ב סימן יד</w:t>
      </w:r>
    </w:p>
    <w:p w14:paraId="433F92F1" w14:textId="77777777" w:rsidR="00E00AC2" w:rsidRDefault="00E00AC2" w:rsidP="00E00AC2">
      <w:pPr>
        <w:rPr>
          <w:rtl/>
        </w:rPr>
      </w:pPr>
      <w:r>
        <w:rPr>
          <w:rtl/>
        </w:rPr>
        <w:t xml:space="preserve">שאלה: </w:t>
      </w:r>
      <w:proofErr w:type="spellStart"/>
      <w:r>
        <w:rPr>
          <w:rtl/>
        </w:rPr>
        <w:t>כהנים</w:t>
      </w:r>
      <w:proofErr w:type="spellEnd"/>
      <w:r>
        <w:rPr>
          <w:rtl/>
        </w:rPr>
        <w:t xml:space="preserve"> חיילי צה"ל שהשתתפו בקרבות נגד צבאות מצרים ירדן וסוריה, במערכות ישראל, ופגעו והרגו מחיילי האויב, האם דינם ככהן שהרג את הנפש שאינו נושא כפיו לברך את ישראל?  </w:t>
      </w:r>
    </w:p>
    <w:p w14:paraId="78F4F09A" w14:textId="77777777" w:rsidR="00E00AC2" w:rsidRPr="00AA1709" w:rsidRDefault="00E00AC2" w:rsidP="00E00AC2">
      <w:pPr>
        <w:rPr>
          <w:rtl/>
        </w:rPr>
      </w:pPr>
      <w:r>
        <w:rPr>
          <w:rtl/>
        </w:rPr>
        <w:t xml:space="preserve">  תשובה: במסכת ברכות (דף לב:): אמר רבי יוחנן, כהן שהרג את הנפש לא </w:t>
      </w:r>
      <w:proofErr w:type="spellStart"/>
      <w:r>
        <w:rPr>
          <w:rtl/>
        </w:rPr>
        <w:t>ישא</w:t>
      </w:r>
      <w:proofErr w:type="spellEnd"/>
      <w:r>
        <w:rPr>
          <w:rtl/>
        </w:rPr>
        <w:t xml:space="preserve"> את כפיו, שנאמר ובפרשכם כפיכם אעלים עיני מכם, ידיכם דמים מלאו +הנה התוספות (יבמות ז ע"א) בד"ה שנאמר, כתבו, שאף על פי שכהן שהרג את </w:t>
      </w:r>
      <w:r>
        <w:rPr>
          <w:rtl/>
        </w:rPr>
        <w:lastRenderedPageBreak/>
        <w:t xml:space="preserve">הנפש אינו מחלל עבודה, שנאמר מעם מזבחי </w:t>
      </w:r>
      <w:proofErr w:type="spellStart"/>
      <w:r>
        <w:rPr>
          <w:rtl/>
        </w:rPr>
        <w:t>תקחנו</w:t>
      </w:r>
      <w:proofErr w:type="spellEnd"/>
      <w:r>
        <w:rPr>
          <w:rtl/>
        </w:rPr>
        <w:t xml:space="preserve"> למות, ולא מעל מזבחי, אע"פ כן אינו נושא כפיו, </w:t>
      </w:r>
      <w:proofErr w:type="spellStart"/>
      <w:r>
        <w:rPr>
          <w:rtl/>
        </w:rPr>
        <w:t>וחומרא</w:t>
      </w:r>
      <w:proofErr w:type="spellEnd"/>
      <w:r>
        <w:rPr>
          <w:rtl/>
        </w:rPr>
        <w:t xml:space="preserve"> בעלמא היא. ועוד </w:t>
      </w:r>
      <w:proofErr w:type="spellStart"/>
      <w:r>
        <w:rPr>
          <w:rtl/>
        </w:rPr>
        <w:t>י"ל</w:t>
      </w:r>
      <w:proofErr w:type="spellEnd"/>
      <w:r>
        <w:rPr>
          <w:rtl/>
        </w:rPr>
        <w:t xml:space="preserve">, </w:t>
      </w:r>
      <w:proofErr w:type="spellStart"/>
      <w:r>
        <w:rPr>
          <w:rtl/>
        </w:rPr>
        <w:t>שדוקא</w:t>
      </w:r>
      <w:proofErr w:type="spellEnd"/>
      <w:r>
        <w:rPr>
          <w:rtl/>
        </w:rPr>
        <w:t xml:space="preserve"> לא </w:t>
      </w:r>
      <w:proofErr w:type="spellStart"/>
      <w:r>
        <w:rPr>
          <w:rtl/>
        </w:rPr>
        <w:t>ישא</w:t>
      </w:r>
      <w:proofErr w:type="spellEnd"/>
      <w:r>
        <w:rPr>
          <w:rtl/>
        </w:rPr>
        <w:t xml:space="preserve"> כפיו לפי שהרג בידיו ואין </w:t>
      </w:r>
      <w:proofErr w:type="spellStart"/>
      <w:r>
        <w:rPr>
          <w:rtl/>
        </w:rPr>
        <w:t>קטיגור</w:t>
      </w:r>
      <w:proofErr w:type="spellEnd"/>
      <w:r>
        <w:rPr>
          <w:rtl/>
        </w:rPr>
        <w:t xml:space="preserve"> נעשה סניגור, שנאמר ובפרשכם כפיכם אעלים עיני מכם, ידיכם דמים מלאו. ע"כ. (וכן הוא בתוספות סנהדרין לה:). ונראה שלתירוצם הראשון מה שאינו נושא כפיו הוא רק מדרבנן. אבל לפי התירוץ השני אינו נושא כפיו מדאורייתא. (וכן כתב </w:t>
      </w:r>
      <w:proofErr w:type="spellStart"/>
      <w:r>
        <w:rPr>
          <w:rtl/>
        </w:rPr>
        <w:t>בשו"ת</w:t>
      </w:r>
      <w:proofErr w:type="spellEnd"/>
      <w:r>
        <w:rPr>
          <w:rtl/>
        </w:rPr>
        <w:t xml:space="preserve"> פני מבין חלק </w:t>
      </w:r>
      <w:proofErr w:type="spellStart"/>
      <w:r>
        <w:rPr>
          <w:rtl/>
        </w:rPr>
        <w:t>או"ח</w:t>
      </w:r>
      <w:proofErr w:type="spellEnd"/>
      <w:r>
        <w:rPr>
          <w:rtl/>
        </w:rPr>
        <w:t xml:space="preserve"> סימן כה). ובזה יש להסביר מחלוקת הראשונים, </w:t>
      </w:r>
      <w:proofErr w:type="spellStart"/>
      <w:r>
        <w:rPr>
          <w:rtl/>
        </w:rPr>
        <w:t>שהמרדכי</w:t>
      </w:r>
      <w:proofErr w:type="spellEnd"/>
      <w:r>
        <w:rPr>
          <w:rtl/>
        </w:rPr>
        <w:t xml:space="preserve"> (פרק ג' </w:t>
      </w:r>
      <w:proofErr w:type="spellStart"/>
      <w:r>
        <w:rPr>
          <w:rtl/>
        </w:rPr>
        <w:t>דמגילה</w:t>
      </w:r>
      <w:proofErr w:type="spellEnd"/>
      <w:r>
        <w:rPr>
          <w:rtl/>
        </w:rPr>
        <w:t xml:space="preserve">), והגהות </w:t>
      </w:r>
      <w:proofErr w:type="spellStart"/>
      <w:r>
        <w:rPr>
          <w:rtl/>
        </w:rPr>
        <w:t>מיימוני</w:t>
      </w:r>
      <w:proofErr w:type="spellEnd"/>
      <w:r>
        <w:rPr>
          <w:rtl/>
        </w:rPr>
        <w:t xml:space="preserve"> (פרק ט"ו מהלכות תפלה), והאור זרוע חלק ב' (סימן </w:t>
      </w:r>
      <w:proofErr w:type="spellStart"/>
      <w:r>
        <w:rPr>
          <w:rtl/>
        </w:rPr>
        <w:t>תיב</w:t>
      </w:r>
      <w:proofErr w:type="spellEnd"/>
      <w:r>
        <w:rPr>
          <w:rtl/>
        </w:rPr>
        <w:t xml:space="preserve">), כ' בשם </w:t>
      </w:r>
      <w:proofErr w:type="spellStart"/>
      <w:r>
        <w:rPr>
          <w:rtl/>
        </w:rPr>
        <w:t>ראבי"ה</w:t>
      </w:r>
      <w:proofErr w:type="spellEnd"/>
      <w:r>
        <w:rPr>
          <w:rtl/>
        </w:rPr>
        <w:t xml:space="preserve">, שדין זה </w:t>
      </w:r>
      <w:proofErr w:type="spellStart"/>
      <w:r>
        <w:rPr>
          <w:rtl/>
        </w:rPr>
        <w:t>דוקא</w:t>
      </w:r>
      <w:proofErr w:type="spellEnd"/>
      <w:r>
        <w:rPr>
          <w:rtl/>
        </w:rPr>
        <w:t xml:space="preserve"> ברוצח מפורסם ומועד הוא לכך, ושכן כתב רבינו שמחה דלא איירי אלא בעומד במרדו, וראיה מהירושלמי גיטין (פרק ה הלכה ט): שמא תאמר כהן זה מגלה עריות ושופך דמים והוא מברכני? אמר הקדוש ברוך הוא, וכי הוא מברכך, אני מברכך, שנאמר ואני אברכם. (וכן כתב עוד האור זרוע חלק א' (סוף סימן </w:t>
      </w:r>
      <w:proofErr w:type="spellStart"/>
      <w:r>
        <w:rPr>
          <w:rtl/>
        </w:rPr>
        <w:t>קיב</w:t>
      </w:r>
      <w:proofErr w:type="spellEnd"/>
      <w:r>
        <w:rPr>
          <w:rtl/>
        </w:rPr>
        <w:t xml:space="preserve">) בשם </w:t>
      </w:r>
      <w:proofErr w:type="spellStart"/>
      <w:r>
        <w:rPr>
          <w:rtl/>
        </w:rPr>
        <w:t>ראבי"ה</w:t>
      </w:r>
      <w:proofErr w:type="spellEnd"/>
      <w:r>
        <w:rPr>
          <w:rtl/>
        </w:rPr>
        <w:t xml:space="preserve">, שהירושלמי </w:t>
      </w:r>
      <w:proofErr w:type="spellStart"/>
      <w:r>
        <w:rPr>
          <w:rtl/>
        </w:rPr>
        <w:t>מיירי</w:t>
      </w:r>
      <w:proofErr w:type="spellEnd"/>
      <w:r>
        <w:rPr>
          <w:rtl/>
        </w:rPr>
        <w:t xml:space="preserve"> שעשה תשובה, והבבלי </w:t>
      </w:r>
      <w:proofErr w:type="spellStart"/>
      <w:r>
        <w:rPr>
          <w:rtl/>
        </w:rPr>
        <w:t>מיירי</w:t>
      </w:r>
      <w:proofErr w:type="spellEnd"/>
      <w:r>
        <w:rPr>
          <w:rtl/>
        </w:rPr>
        <w:t xml:space="preserve"> שלא עשה תשובה, וכדעת רבינו שמחה). אבל הרמב"ם (בפרק ט"ו מהלכות תפלה הלכה ג) כתב, שאע"פ שעשה תשובה אינו נושא כפיו, וכתב מרן הכסף משנה שם, וכן בבית יוסף (/</w:t>
      </w:r>
      <w:proofErr w:type="spellStart"/>
      <w:r>
        <w:rPr>
          <w:rtl/>
        </w:rPr>
        <w:t>או"ח</w:t>
      </w:r>
      <w:proofErr w:type="spellEnd"/>
      <w:r>
        <w:rPr>
          <w:rtl/>
        </w:rPr>
        <w:t xml:space="preserve">/ סימן </w:t>
      </w:r>
      <w:proofErr w:type="spellStart"/>
      <w:r>
        <w:rPr>
          <w:rtl/>
        </w:rPr>
        <w:t>קכח</w:t>
      </w:r>
      <w:proofErr w:type="spellEnd"/>
      <w:r>
        <w:rPr>
          <w:rtl/>
        </w:rPr>
        <w:t xml:space="preserve">), שרבינו מפרש דברי הירושלמי </w:t>
      </w:r>
      <w:proofErr w:type="spellStart"/>
      <w:r>
        <w:rPr>
          <w:rtl/>
        </w:rPr>
        <w:t>דמיירי</w:t>
      </w:r>
      <w:proofErr w:type="spellEnd"/>
      <w:r>
        <w:rPr>
          <w:rtl/>
        </w:rPr>
        <w:t xml:space="preserve"> שהעם מרננים אחריו שהוא שופך דמים, אבל בידוע שהרג את הנפש לא </w:t>
      </w:r>
      <w:proofErr w:type="spellStart"/>
      <w:r>
        <w:rPr>
          <w:rtl/>
        </w:rPr>
        <w:t>ישא</w:t>
      </w:r>
      <w:proofErr w:type="spellEnd"/>
      <w:r>
        <w:rPr>
          <w:rtl/>
        </w:rPr>
        <w:t xml:space="preserve"> כפיו. (ועיין בשיורי קרבן בירושלמי שם). ויש להסביר מחלוקת הראשונים האלה באופן שנחלקו אם דין זה אינו אלא מדרבנן וקרא אסמכתא בעלמא, וכמו שכתבו התוספות (יבמות ז ע"א) בתירוצם הראשון, ולפי זה יש להקל כשאינו רוצח מפורסם ומועד, או בעשה תשובה, אבל לתירוצם השני דהוי מן התורה יש להחמיר. וכן פסק מרן בשלחן ערוך (/</w:t>
      </w:r>
      <w:proofErr w:type="spellStart"/>
      <w:r>
        <w:rPr>
          <w:rtl/>
        </w:rPr>
        <w:t>או"ח</w:t>
      </w:r>
      <w:proofErr w:type="spellEnd"/>
      <w:r>
        <w:rPr>
          <w:rtl/>
        </w:rPr>
        <w:t xml:space="preserve">/ סימן </w:t>
      </w:r>
      <w:proofErr w:type="spellStart"/>
      <w:r>
        <w:rPr>
          <w:rtl/>
        </w:rPr>
        <w:t>קכח</w:t>
      </w:r>
      <w:proofErr w:type="spellEnd"/>
      <w:r>
        <w:rPr>
          <w:rtl/>
        </w:rPr>
        <w:t xml:space="preserve"> סעיף לו). ועיין בתשובת </w:t>
      </w:r>
      <w:proofErr w:type="spellStart"/>
      <w:r>
        <w:rPr>
          <w:rtl/>
        </w:rPr>
        <w:t>הרדב"ז</w:t>
      </w:r>
      <w:proofErr w:type="spellEnd"/>
      <w:r>
        <w:rPr>
          <w:rtl/>
        </w:rPr>
        <w:t xml:space="preserve"> חלק ד' (סימן </w:t>
      </w:r>
      <w:proofErr w:type="spellStart"/>
      <w:r>
        <w:rPr>
          <w:rtl/>
        </w:rPr>
        <w:t>קכח</w:t>
      </w:r>
      <w:proofErr w:type="spellEnd"/>
      <w:r>
        <w:rPr>
          <w:rtl/>
        </w:rPr>
        <w:t xml:space="preserve">). </w:t>
      </w:r>
      <w:proofErr w:type="spellStart"/>
      <w:r>
        <w:rPr>
          <w:rtl/>
        </w:rPr>
        <w:t>ודו"ק</w:t>
      </w:r>
      <w:proofErr w:type="spellEnd"/>
      <w:r>
        <w:rPr>
          <w:rtl/>
        </w:rPr>
        <w:t xml:space="preserve">. [ומכל שכן שלפי דעת הזוהר פרשת פנחס (דף </w:t>
      </w:r>
      <w:proofErr w:type="spellStart"/>
      <w:r>
        <w:rPr>
          <w:rtl/>
        </w:rPr>
        <w:t>ריד</w:t>
      </w:r>
      <w:proofErr w:type="spellEnd"/>
      <w:r>
        <w:rPr>
          <w:rtl/>
        </w:rPr>
        <w:t xml:space="preserve"> ע"א) כהן שהרג פסול אף לעבודה. וכן כתב התוספות יום טוב (בפרק ז' </w:t>
      </w:r>
      <w:proofErr w:type="spellStart"/>
      <w:r>
        <w:rPr>
          <w:rtl/>
        </w:rPr>
        <w:t>דבכורות</w:t>
      </w:r>
      <w:proofErr w:type="spellEnd"/>
      <w:r>
        <w:rPr>
          <w:rtl/>
        </w:rPr>
        <w:t xml:space="preserve"> משנה ז). ובתוספות רבי עקיבא איגר העיר מדברי התוספות הנ"ל שכשר לעבודה, ושכן תמה גם המשנה למלך. ע"ש. ועיין למרן </w:t>
      </w:r>
      <w:proofErr w:type="spellStart"/>
      <w:r>
        <w:rPr>
          <w:rtl/>
        </w:rPr>
        <w:t>החיד"א</w:t>
      </w:r>
      <w:proofErr w:type="spellEnd"/>
      <w:r>
        <w:rPr>
          <w:rtl/>
        </w:rPr>
        <w:t xml:space="preserve"> בשער יוסף (הוריות </w:t>
      </w:r>
      <w:proofErr w:type="spellStart"/>
      <w:r>
        <w:rPr>
          <w:rtl/>
        </w:rPr>
        <w:t>יב</w:t>
      </w:r>
      <w:proofErr w:type="spellEnd"/>
      <w:r>
        <w:rPr>
          <w:rtl/>
        </w:rPr>
        <w:t xml:space="preserve"> /ע"א/ דף </w:t>
      </w:r>
      <w:proofErr w:type="spellStart"/>
      <w:r>
        <w:rPr>
          <w:rtl/>
        </w:rPr>
        <w:t>קטז</w:t>
      </w:r>
      <w:proofErr w:type="spellEnd"/>
      <w:r>
        <w:rPr>
          <w:rtl/>
        </w:rPr>
        <w:t xml:space="preserve"> ע"א) </w:t>
      </w:r>
      <w:proofErr w:type="spellStart"/>
      <w:r>
        <w:rPr>
          <w:rtl/>
        </w:rPr>
        <w:t>מ"ש</w:t>
      </w:r>
      <w:proofErr w:type="spellEnd"/>
      <w:r>
        <w:rPr>
          <w:rtl/>
        </w:rPr>
        <w:t xml:space="preserve"> להעיר על דברי התוספות בזה, ועיין עוד בספר אור הישר זבחים (</w:t>
      </w:r>
      <w:proofErr w:type="spellStart"/>
      <w:r>
        <w:rPr>
          <w:rtl/>
        </w:rPr>
        <w:t>קא</w:t>
      </w:r>
      <w:proofErr w:type="spellEnd"/>
      <w:r>
        <w:rPr>
          <w:rtl/>
        </w:rPr>
        <w:t xml:space="preserve">:). ואכמ"ל]. ולכאורה יש להעיר על התירוץ השני של התוספות </w:t>
      </w:r>
      <w:proofErr w:type="spellStart"/>
      <w:r>
        <w:rPr>
          <w:rtl/>
        </w:rPr>
        <w:t>דאתינן</w:t>
      </w:r>
      <w:proofErr w:type="spellEnd"/>
      <w:r>
        <w:rPr>
          <w:rtl/>
        </w:rPr>
        <w:t xml:space="preserve"> עלה משום אין </w:t>
      </w:r>
      <w:proofErr w:type="spellStart"/>
      <w:r>
        <w:rPr>
          <w:rtl/>
        </w:rPr>
        <w:t>קטיגור</w:t>
      </w:r>
      <w:proofErr w:type="spellEnd"/>
      <w:r>
        <w:rPr>
          <w:rtl/>
        </w:rPr>
        <w:t xml:space="preserve"> נעשה סניגור, והרי במסכת ראש השנה (</w:t>
      </w:r>
      <w:proofErr w:type="spellStart"/>
      <w:r>
        <w:rPr>
          <w:rtl/>
        </w:rPr>
        <w:t>כו</w:t>
      </w:r>
      <w:proofErr w:type="spellEnd"/>
      <w:r>
        <w:rPr>
          <w:rtl/>
        </w:rPr>
        <w:t xml:space="preserve"> ע"א), אמר רב </w:t>
      </w:r>
      <w:proofErr w:type="spellStart"/>
      <w:r>
        <w:rPr>
          <w:rtl/>
        </w:rPr>
        <w:t>חסדא</w:t>
      </w:r>
      <w:proofErr w:type="spellEnd"/>
      <w:r>
        <w:rPr>
          <w:rtl/>
        </w:rPr>
        <w:t xml:space="preserve">, מפני מה אין כהן גדול נכנס בבגדי זהב לפני ולפנים לעבוד עבודה, לפי שאין </w:t>
      </w:r>
      <w:proofErr w:type="spellStart"/>
      <w:r>
        <w:rPr>
          <w:rtl/>
        </w:rPr>
        <w:t>קטיגור</w:t>
      </w:r>
      <w:proofErr w:type="spellEnd"/>
      <w:r>
        <w:rPr>
          <w:rtl/>
        </w:rPr>
        <w:t xml:space="preserve"> נעשה סניגור. (כי הזהב מזכיר </w:t>
      </w:r>
      <w:proofErr w:type="spellStart"/>
      <w:r>
        <w:rPr>
          <w:rtl/>
        </w:rPr>
        <w:t>עון</w:t>
      </w:r>
      <w:proofErr w:type="spellEnd"/>
      <w:r>
        <w:rPr>
          <w:rtl/>
        </w:rPr>
        <w:t xml:space="preserve"> העגל). והא איכא בגדי זהב בחוץ, מבפנים </w:t>
      </w:r>
      <w:proofErr w:type="spellStart"/>
      <w:r>
        <w:rPr>
          <w:rtl/>
        </w:rPr>
        <w:t>קאמרינן</w:t>
      </w:r>
      <w:proofErr w:type="spellEnd"/>
      <w:r>
        <w:rPr>
          <w:rtl/>
        </w:rPr>
        <w:t xml:space="preserve">. ע"כ. ולפי זה נשיאת כפים שהיא בחוץ למה נפסול מטעם אין </w:t>
      </w:r>
      <w:proofErr w:type="spellStart"/>
      <w:r>
        <w:rPr>
          <w:rtl/>
        </w:rPr>
        <w:t>קטיגור</w:t>
      </w:r>
      <w:proofErr w:type="spellEnd"/>
      <w:r>
        <w:rPr>
          <w:rtl/>
        </w:rPr>
        <w:t xml:space="preserve"> נעשה סניגור. ונראה לתרץ, </w:t>
      </w:r>
      <w:proofErr w:type="spellStart"/>
      <w:r>
        <w:rPr>
          <w:rtl/>
        </w:rPr>
        <w:t>שדוקא</w:t>
      </w:r>
      <w:proofErr w:type="spellEnd"/>
      <w:r>
        <w:rPr>
          <w:rtl/>
        </w:rPr>
        <w:t xml:space="preserve"> בבגדי זהב, שהוא זהב אחר, הותר להשתמש בחוץ, ורק מפני שהוא מין זהב אין הכהן משתמש בבגדי זהב לפני ולפנים. ושוב ראיתי שכן תירץ מרן </w:t>
      </w:r>
      <w:proofErr w:type="spellStart"/>
      <w:r>
        <w:rPr>
          <w:rtl/>
        </w:rPr>
        <w:t>החיד"א</w:t>
      </w:r>
      <w:proofErr w:type="spellEnd"/>
      <w:r>
        <w:rPr>
          <w:rtl/>
        </w:rPr>
        <w:t xml:space="preserve"> בספר יעיר אזן (מערכת א אות עט), ובספר דברים אחדים (דף מה ע"א), ובספר ככר לאדן (דף קמא ע"ב). ע"ש. וסמך לזה ממה שכתב רבינו אליהו מזרחי, (בפרשת </w:t>
      </w:r>
      <w:proofErr w:type="spellStart"/>
      <w:r>
        <w:rPr>
          <w:rtl/>
        </w:rPr>
        <w:t>חקת</w:t>
      </w:r>
      <w:proofErr w:type="spellEnd"/>
      <w:r>
        <w:rPr>
          <w:rtl/>
        </w:rPr>
        <w:t xml:space="preserve">, </w:t>
      </w:r>
      <w:proofErr w:type="spellStart"/>
      <w:r>
        <w:rPr>
          <w:rtl/>
        </w:rPr>
        <w:t>יט</w:t>
      </w:r>
      <w:proofErr w:type="spellEnd"/>
      <w:r>
        <w:rPr>
          <w:rtl/>
        </w:rPr>
        <w:t xml:space="preserve"> </w:t>
      </w:r>
      <w:proofErr w:type="spellStart"/>
      <w:r>
        <w:rPr>
          <w:rtl/>
        </w:rPr>
        <w:t>כב</w:t>
      </w:r>
      <w:proofErr w:type="spellEnd"/>
      <w:r>
        <w:rPr>
          <w:rtl/>
        </w:rPr>
        <w:t xml:space="preserve">), על מה שפירש רש"י, שלפי שאהרן עשה את העגל לא הוכשרה עשיית פרה אדומה על ידו, שאין </w:t>
      </w:r>
      <w:proofErr w:type="spellStart"/>
      <w:r>
        <w:rPr>
          <w:rtl/>
        </w:rPr>
        <w:t>קטיגור</w:t>
      </w:r>
      <w:proofErr w:type="spellEnd"/>
      <w:r>
        <w:rPr>
          <w:rtl/>
        </w:rPr>
        <w:t xml:space="preserve"> נעשה סניגור. והקשה </w:t>
      </w:r>
      <w:proofErr w:type="spellStart"/>
      <w:r>
        <w:rPr>
          <w:rtl/>
        </w:rPr>
        <w:t>הרא"ם</w:t>
      </w:r>
      <w:proofErr w:type="spellEnd"/>
      <w:r>
        <w:rPr>
          <w:rtl/>
        </w:rPr>
        <w:t xml:space="preserve">, ממה שאמרו בראש השנה (דף </w:t>
      </w:r>
      <w:proofErr w:type="spellStart"/>
      <w:r>
        <w:rPr>
          <w:rtl/>
        </w:rPr>
        <w:t>כו</w:t>
      </w:r>
      <w:proofErr w:type="spellEnd"/>
      <w:r>
        <w:rPr>
          <w:rtl/>
        </w:rPr>
        <w:t xml:space="preserve"> ע"א) </w:t>
      </w:r>
      <w:proofErr w:type="spellStart"/>
      <w:r>
        <w:rPr>
          <w:rtl/>
        </w:rPr>
        <w:t>דכי</w:t>
      </w:r>
      <w:proofErr w:type="spellEnd"/>
      <w:r>
        <w:rPr>
          <w:rtl/>
        </w:rPr>
        <w:t xml:space="preserve"> </w:t>
      </w:r>
      <w:proofErr w:type="spellStart"/>
      <w:r>
        <w:rPr>
          <w:rtl/>
        </w:rPr>
        <w:t>אמרינן</w:t>
      </w:r>
      <w:proofErr w:type="spellEnd"/>
      <w:r>
        <w:rPr>
          <w:rtl/>
        </w:rPr>
        <w:t xml:space="preserve"> אין </w:t>
      </w:r>
      <w:proofErr w:type="spellStart"/>
      <w:r>
        <w:rPr>
          <w:rtl/>
        </w:rPr>
        <w:t>קטיגור</w:t>
      </w:r>
      <w:proofErr w:type="spellEnd"/>
      <w:r>
        <w:rPr>
          <w:rtl/>
        </w:rPr>
        <w:t xml:space="preserve"> נעשה סניגור היינו בעבודה שבפנים, אבל מבחוץ לא </w:t>
      </w:r>
      <w:proofErr w:type="spellStart"/>
      <w:r>
        <w:rPr>
          <w:rtl/>
        </w:rPr>
        <w:t>קאמרינן</w:t>
      </w:r>
      <w:proofErr w:type="spellEnd"/>
      <w:r>
        <w:rPr>
          <w:rtl/>
        </w:rPr>
        <w:t xml:space="preserve">. ותירץ </w:t>
      </w:r>
      <w:proofErr w:type="spellStart"/>
      <w:r>
        <w:rPr>
          <w:rtl/>
        </w:rPr>
        <w:t>דשאני</w:t>
      </w:r>
      <w:proofErr w:type="spellEnd"/>
      <w:r>
        <w:rPr>
          <w:rtl/>
        </w:rPr>
        <w:t xml:space="preserve"> הכא שאהרן עצמו היה </w:t>
      </w:r>
      <w:proofErr w:type="spellStart"/>
      <w:r>
        <w:rPr>
          <w:rtl/>
        </w:rPr>
        <w:t>קטיגור</w:t>
      </w:r>
      <w:proofErr w:type="spellEnd"/>
      <w:r>
        <w:rPr>
          <w:rtl/>
        </w:rPr>
        <w:t xml:space="preserve">, שעל ידו נעשה העגל, משום הכי לא שנא בפנים לא שנא בחוץ </w:t>
      </w:r>
      <w:proofErr w:type="spellStart"/>
      <w:r>
        <w:rPr>
          <w:rtl/>
        </w:rPr>
        <w:t>אמרינן</w:t>
      </w:r>
      <w:proofErr w:type="spellEnd"/>
      <w:r>
        <w:rPr>
          <w:rtl/>
        </w:rPr>
        <w:t xml:space="preserve"> אין </w:t>
      </w:r>
      <w:proofErr w:type="spellStart"/>
      <w:r>
        <w:rPr>
          <w:rtl/>
        </w:rPr>
        <w:t>קטיגור</w:t>
      </w:r>
      <w:proofErr w:type="spellEnd"/>
      <w:r>
        <w:rPr>
          <w:rtl/>
        </w:rPr>
        <w:t xml:space="preserve"> נעשה סניגור. ע"ש. </w:t>
      </w:r>
      <w:proofErr w:type="spellStart"/>
      <w:r>
        <w:rPr>
          <w:rtl/>
        </w:rPr>
        <w:t>והרה"ג</w:t>
      </w:r>
      <w:proofErr w:type="spellEnd"/>
      <w:r>
        <w:rPr>
          <w:rtl/>
        </w:rPr>
        <w:t xml:space="preserve"> ר' צבי דומב </w:t>
      </w:r>
      <w:proofErr w:type="spellStart"/>
      <w:r>
        <w:rPr>
          <w:rtl/>
        </w:rPr>
        <w:t>נר"ו</w:t>
      </w:r>
      <w:proofErr w:type="spellEnd"/>
      <w:r>
        <w:rPr>
          <w:rtl/>
        </w:rPr>
        <w:t xml:space="preserve"> בספר אמרי צבי על ספר הפרנס (סימן </w:t>
      </w:r>
      <w:proofErr w:type="spellStart"/>
      <w:r>
        <w:rPr>
          <w:rtl/>
        </w:rPr>
        <w:t>רג</w:t>
      </w:r>
      <w:proofErr w:type="spellEnd"/>
      <w:r>
        <w:rPr>
          <w:rtl/>
        </w:rPr>
        <w:t xml:space="preserve">, עמוד </w:t>
      </w:r>
      <w:proofErr w:type="spellStart"/>
      <w:r>
        <w:rPr>
          <w:rtl/>
        </w:rPr>
        <w:t>רלז</w:t>
      </w:r>
      <w:proofErr w:type="spellEnd"/>
      <w:r>
        <w:rPr>
          <w:rtl/>
        </w:rPr>
        <w:t xml:space="preserve">), עמד </w:t>
      </w:r>
      <w:proofErr w:type="spellStart"/>
      <w:r>
        <w:rPr>
          <w:rtl/>
        </w:rPr>
        <w:t>בקושיא</w:t>
      </w:r>
      <w:proofErr w:type="spellEnd"/>
      <w:r>
        <w:rPr>
          <w:rtl/>
        </w:rPr>
        <w:t xml:space="preserve"> הנ"ל </w:t>
      </w:r>
      <w:proofErr w:type="spellStart"/>
      <w:r>
        <w:rPr>
          <w:rtl/>
        </w:rPr>
        <w:t>מדנפשיה</w:t>
      </w:r>
      <w:proofErr w:type="spellEnd"/>
      <w:r>
        <w:rPr>
          <w:rtl/>
        </w:rPr>
        <w:t xml:space="preserve">, שהרי הא </w:t>
      </w:r>
      <w:proofErr w:type="spellStart"/>
      <w:r>
        <w:rPr>
          <w:rtl/>
        </w:rPr>
        <w:t>דאין</w:t>
      </w:r>
      <w:proofErr w:type="spellEnd"/>
      <w:r>
        <w:rPr>
          <w:rtl/>
        </w:rPr>
        <w:t xml:space="preserve"> </w:t>
      </w:r>
      <w:proofErr w:type="spellStart"/>
      <w:r>
        <w:rPr>
          <w:rtl/>
        </w:rPr>
        <w:t>קטיגור</w:t>
      </w:r>
      <w:proofErr w:type="spellEnd"/>
      <w:r>
        <w:rPr>
          <w:rtl/>
        </w:rPr>
        <w:t xml:space="preserve"> נעשה סניגור הוא רק במידי </w:t>
      </w:r>
      <w:proofErr w:type="spellStart"/>
      <w:r>
        <w:rPr>
          <w:rtl/>
        </w:rPr>
        <w:t>דלפנים</w:t>
      </w:r>
      <w:proofErr w:type="spellEnd"/>
      <w:r>
        <w:rPr>
          <w:rtl/>
        </w:rPr>
        <w:t xml:space="preserve">. ע"ש שנדחק בזה. </w:t>
      </w:r>
      <w:proofErr w:type="spellStart"/>
      <w:r>
        <w:rPr>
          <w:rtl/>
        </w:rPr>
        <w:t>ולפמש"כ</w:t>
      </w:r>
      <w:proofErr w:type="spellEnd"/>
      <w:r>
        <w:rPr>
          <w:rtl/>
        </w:rPr>
        <w:t xml:space="preserve"> אתי שפיר. ודוק.+ וכן פסק מרן בשלחן ערוך (/</w:t>
      </w:r>
      <w:proofErr w:type="spellStart"/>
      <w:r>
        <w:rPr>
          <w:rtl/>
        </w:rPr>
        <w:t>או"ח</w:t>
      </w:r>
      <w:proofErr w:type="spellEnd"/>
      <w:r>
        <w:rPr>
          <w:rtl/>
        </w:rPr>
        <w:t xml:space="preserve">/ סימן </w:t>
      </w:r>
      <w:proofErr w:type="spellStart"/>
      <w:r>
        <w:rPr>
          <w:rtl/>
        </w:rPr>
        <w:t>קכח</w:t>
      </w:r>
      <w:proofErr w:type="spellEnd"/>
      <w:r>
        <w:rPr>
          <w:rtl/>
        </w:rPr>
        <w:t xml:space="preserve"> סעיף לה). ומבואר </w:t>
      </w:r>
      <w:proofErr w:type="spellStart"/>
      <w:r>
        <w:rPr>
          <w:rtl/>
        </w:rPr>
        <w:t>בשו"ת</w:t>
      </w:r>
      <w:proofErr w:type="spellEnd"/>
      <w:r>
        <w:rPr>
          <w:rtl/>
        </w:rPr>
        <w:t xml:space="preserve"> הגאון רבי לוי בן חביב (סימן </w:t>
      </w:r>
      <w:proofErr w:type="spellStart"/>
      <w:r>
        <w:rPr>
          <w:rtl/>
        </w:rPr>
        <w:t>קיז</w:t>
      </w:r>
      <w:proofErr w:type="spellEnd"/>
      <w:r>
        <w:rPr>
          <w:rtl/>
        </w:rPr>
        <w:t xml:space="preserve">) שאפילו אין עדים שראוהו שהרג את הנפש, כל שיודע בעצמו שהדבר אמת שהרג את הנפש לא </w:t>
      </w:r>
      <w:proofErr w:type="spellStart"/>
      <w:r>
        <w:rPr>
          <w:rtl/>
        </w:rPr>
        <w:t>ישא</w:t>
      </w:r>
      <w:proofErr w:type="spellEnd"/>
      <w:r>
        <w:rPr>
          <w:rtl/>
        </w:rPr>
        <w:t xml:space="preserve"> כפיו. וכן הסכימו האחרונים. ועלינו לדעת אם הדין הזה שייך גם בהורג גוי, כי הנה איתא במכילתא (פרשת משפטים), על הפסוק וכי יזיד איש על רעהו להרגו בערמה, רעהו להוציא אחרים (גוים). איסי בן עקיבא אומר, קודם מתן תורה היינו מוזהרים על שפיכות דמים (של בני נח), לאחר מתן התורה לאחר שהוחמרו הוקלו? באמת אמרו פטור מדיני אדם ודינו מסור לשמים. והגאון רבי יששכר בער </w:t>
      </w:r>
      <w:proofErr w:type="spellStart"/>
      <w:r>
        <w:rPr>
          <w:rtl/>
        </w:rPr>
        <w:t>איילנבורג</w:t>
      </w:r>
      <w:proofErr w:type="spellEnd"/>
      <w:r>
        <w:rPr>
          <w:rtl/>
        </w:rPr>
        <w:t xml:space="preserve"> (בעל באר שבע) בספרו צדה לדרך (דף סט ע"א) למד מכאן, שהדין שאמר רבי יוחנן שכל כהן שהרג את הנפש לא </w:t>
      </w:r>
      <w:proofErr w:type="spellStart"/>
      <w:r>
        <w:rPr>
          <w:rtl/>
        </w:rPr>
        <w:t>ישא</w:t>
      </w:r>
      <w:proofErr w:type="spellEnd"/>
      <w:r>
        <w:rPr>
          <w:rtl/>
        </w:rPr>
        <w:t xml:space="preserve"> כפיו שנאמר ידיכם דמים מלאו, זהו אפילו בכהן שהרג את הגוי, שכיון שדינו מסור לשמים, לא </w:t>
      </w:r>
      <w:proofErr w:type="spellStart"/>
      <w:r>
        <w:rPr>
          <w:rtl/>
        </w:rPr>
        <w:t>ישא</w:t>
      </w:r>
      <w:proofErr w:type="spellEnd"/>
      <w:r>
        <w:rPr>
          <w:rtl/>
        </w:rPr>
        <w:t xml:space="preserve"> כפיו. וסיים, כן נראה לי להלכה אבל לא למעשה. ע"כ. אולם הגאון רבי יהושע </w:t>
      </w:r>
      <w:proofErr w:type="spellStart"/>
      <w:r>
        <w:rPr>
          <w:rtl/>
        </w:rPr>
        <w:t>פאלק</w:t>
      </w:r>
      <w:proofErr w:type="spellEnd"/>
      <w:r>
        <w:rPr>
          <w:rtl/>
        </w:rPr>
        <w:t xml:space="preserve"> </w:t>
      </w:r>
      <w:proofErr w:type="spellStart"/>
      <w:r>
        <w:rPr>
          <w:rtl/>
        </w:rPr>
        <w:t>כ"ץ</w:t>
      </w:r>
      <w:proofErr w:type="spellEnd"/>
      <w:r>
        <w:rPr>
          <w:rtl/>
        </w:rPr>
        <w:t xml:space="preserve">, בספר הפרישה (סוף סימן </w:t>
      </w:r>
      <w:proofErr w:type="spellStart"/>
      <w:r>
        <w:rPr>
          <w:rtl/>
        </w:rPr>
        <w:t>קכח</w:t>
      </w:r>
      <w:proofErr w:type="spellEnd"/>
      <w:r>
        <w:rPr>
          <w:rtl/>
        </w:rPr>
        <w:t xml:space="preserve">) כתב, נראה לי שכהן שהרג את הנפש שלא </w:t>
      </w:r>
      <w:proofErr w:type="spellStart"/>
      <w:r>
        <w:rPr>
          <w:rtl/>
        </w:rPr>
        <w:t>ישא</w:t>
      </w:r>
      <w:proofErr w:type="spellEnd"/>
      <w:r>
        <w:rPr>
          <w:rtl/>
        </w:rPr>
        <w:t xml:space="preserve"> כפיו, זהו בהורג את ישראל, שהרי הראיה שמביא מהפסוק ידיכם דמים מלאו בהורגי ישראל </w:t>
      </w:r>
      <w:proofErr w:type="spellStart"/>
      <w:r>
        <w:rPr>
          <w:rtl/>
        </w:rPr>
        <w:t>מיירי</w:t>
      </w:r>
      <w:proofErr w:type="spellEnd"/>
      <w:r>
        <w:rPr>
          <w:rtl/>
        </w:rPr>
        <w:t xml:space="preserve">. ע"כ. וכתב על זה הגאון רבי מרדכי כרמי בספר מאמר מרדכי (סימן </w:t>
      </w:r>
      <w:proofErr w:type="spellStart"/>
      <w:r>
        <w:rPr>
          <w:rtl/>
        </w:rPr>
        <w:t>קכח</w:t>
      </w:r>
      <w:proofErr w:type="spellEnd"/>
      <w:r>
        <w:rPr>
          <w:rtl/>
        </w:rPr>
        <w:t xml:space="preserve"> </w:t>
      </w:r>
      <w:proofErr w:type="spellStart"/>
      <w:r>
        <w:rPr>
          <w:rtl/>
        </w:rPr>
        <w:t>ס"ק</w:t>
      </w:r>
      <w:proofErr w:type="spellEnd"/>
      <w:r>
        <w:rPr>
          <w:rtl/>
        </w:rPr>
        <w:t xml:space="preserve"> מג), שנראה כוונת הפרישה, למעט כהן שהרג את הגוי. ואם תאמר והרי פשוט שההורג גוי אינו נפסל לדוכן, ואף על פי שמבואר ביורה דעה (סימן קנח) שאין לסבב לגוים מיתה, הרי כתב הפרישה שם בשם הבית יוסף, שאין הכוונה לומר שאסור להורגם, אלא לומר שאינו מצווה לסבב להם מיתה, ואם כן מאחר שמן הדין מותר להורגם פשיטא שאינו נפסל מנשיאות כפים. ויש לומר שכאן מדובר בגוי שמקיים שבע מצוות </w:t>
      </w:r>
      <w:proofErr w:type="spellStart"/>
      <w:r>
        <w:rPr>
          <w:rtl/>
        </w:rPr>
        <w:t>שנצטוו</w:t>
      </w:r>
      <w:proofErr w:type="spellEnd"/>
      <w:r>
        <w:rPr>
          <w:rtl/>
        </w:rPr>
        <w:t xml:space="preserve"> עליהם בני נח, שלכל הדעות אסור לסבב לו מיתה, והשמיענו הפרישה, שבכל זאת כהן </w:t>
      </w:r>
      <w:proofErr w:type="spellStart"/>
      <w:r>
        <w:rPr>
          <w:rtl/>
        </w:rPr>
        <w:t>ההורגו</w:t>
      </w:r>
      <w:proofErr w:type="spellEnd"/>
      <w:r>
        <w:rPr>
          <w:rtl/>
        </w:rPr>
        <w:t xml:space="preserve"> אינו נפסל לדוכן, משום שהפסוק ידיכם דמים מלאו </w:t>
      </w:r>
      <w:proofErr w:type="spellStart"/>
      <w:r>
        <w:rPr>
          <w:rtl/>
        </w:rPr>
        <w:t>מיירי</w:t>
      </w:r>
      <w:proofErr w:type="spellEnd"/>
      <w:r>
        <w:rPr>
          <w:rtl/>
        </w:rPr>
        <w:t xml:space="preserve"> בהורגי ישראל. ע"כ. וכן כתב בשלמי צבור (דף קמו ע"ב). וע"ע </w:t>
      </w:r>
      <w:proofErr w:type="spellStart"/>
      <w:r>
        <w:rPr>
          <w:rtl/>
        </w:rPr>
        <w:t>בשו"ת</w:t>
      </w:r>
      <w:proofErr w:type="spellEnd"/>
      <w:r>
        <w:rPr>
          <w:rtl/>
        </w:rPr>
        <w:t xml:space="preserve"> פני מבין (חלק </w:t>
      </w:r>
      <w:proofErr w:type="spellStart"/>
      <w:r>
        <w:rPr>
          <w:rtl/>
        </w:rPr>
        <w:t>או"ח</w:t>
      </w:r>
      <w:proofErr w:type="spellEnd"/>
      <w:r>
        <w:rPr>
          <w:rtl/>
        </w:rPr>
        <w:t xml:space="preserve"> סימן </w:t>
      </w:r>
      <w:proofErr w:type="spellStart"/>
      <w:r>
        <w:rPr>
          <w:rtl/>
        </w:rPr>
        <w:t>רלט</w:t>
      </w:r>
      <w:proofErr w:type="spellEnd"/>
      <w:r>
        <w:rPr>
          <w:rtl/>
        </w:rPr>
        <w:t xml:space="preserve">) שכתב, ומה ששאלת אם נפש עכו"ם בכלל הדין שכהן שהרג את הנפש לא </w:t>
      </w:r>
      <w:proofErr w:type="spellStart"/>
      <w:r>
        <w:rPr>
          <w:rtl/>
        </w:rPr>
        <w:t>ישא</w:t>
      </w:r>
      <w:proofErr w:type="spellEnd"/>
      <w:r>
        <w:rPr>
          <w:rtl/>
        </w:rPr>
        <w:t xml:space="preserve"> כפיו, הנה עיין ברמב"ם (פרק ב' מהלכות רוצח הלכה יא), שכתב, שההורג גר תושב פטור מדיני אדם, ואין צריך לומר הורג עכו"ם. וכתב מרן הכסף משנה, שמקורו במכילתא, רעהו להוציא את אחרים, ומשמע לרבינו שאף גר תושב בכלל אחרים, ומיהו חייב בדיני שמים. ע"ש. ומשמע אבל הורג עכו"ם אף בדיני שמים אינו חייב, אף </w:t>
      </w:r>
      <w:proofErr w:type="spellStart"/>
      <w:r>
        <w:rPr>
          <w:rtl/>
        </w:rPr>
        <w:t>שבודאי</w:t>
      </w:r>
      <w:proofErr w:type="spellEnd"/>
      <w:r>
        <w:rPr>
          <w:rtl/>
        </w:rPr>
        <w:t xml:space="preserve"> הוא עושה איסור, שהרי אפילו גזל </w:t>
      </w:r>
      <w:proofErr w:type="spellStart"/>
      <w:r>
        <w:rPr>
          <w:rtl/>
        </w:rPr>
        <w:t>העכו"ם</w:t>
      </w:r>
      <w:proofErr w:type="spellEnd"/>
      <w:r>
        <w:rPr>
          <w:rtl/>
        </w:rPr>
        <w:t xml:space="preserve"> אסור, וכל שכן כשנוטל נפשו ממנו. ובעבודה זרה (דף </w:t>
      </w:r>
      <w:proofErr w:type="spellStart"/>
      <w:r>
        <w:rPr>
          <w:rtl/>
        </w:rPr>
        <w:t>כו</w:t>
      </w:r>
      <w:proofErr w:type="spellEnd"/>
      <w:r>
        <w:rPr>
          <w:rtl/>
        </w:rPr>
        <w:t xml:space="preserve"> ע"א) קיימא לן עכו"ם לא מעלין ולא מורידין, אבל לנשיאות כפים כשר, כמו כהן גזלן שלא נפסל לנשיאות כפים. ע"כ. (ולא זכר שר דברי מרן הבית יוסף והפרישה ביו"ד (סי' קנח) הנ"ל, </w:t>
      </w:r>
      <w:proofErr w:type="spellStart"/>
      <w:r>
        <w:rPr>
          <w:rtl/>
        </w:rPr>
        <w:t>דהא</w:t>
      </w:r>
      <w:proofErr w:type="spellEnd"/>
      <w:r>
        <w:rPr>
          <w:rtl/>
        </w:rPr>
        <w:t xml:space="preserve"> דלא מעלין ולא מורידין היינו שאין מצוה להורגם, אבל אין איסור להורגם, אלא שהטורי זהב והבית חדש שם חולקים על זה. ועיין </w:t>
      </w:r>
      <w:proofErr w:type="spellStart"/>
      <w:r>
        <w:rPr>
          <w:rtl/>
        </w:rPr>
        <w:t>בש"ך</w:t>
      </w:r>
      <w:proofErr w:type="spellEnd"/>
      <w:r>
        <w:rPr>
          <w:rtl/>
        </w:rPr>
        <w:t xml:space="preserve"> שם. ועיין </w:t>
      </w:r>
      <w:proofErr w:type="spellStart"/>
      <w:r>
        <w:rPr>
          <w:rtl/>
        </w:rPr>
        <w:t>בשו"ת</w:t>
      </w:r>
      <w:proofErr w:type="spellEnd"/>
      <w:r>
        <w:rPr>
          <w:rtl/>
        </w:rPr>
        <w:t xml:space="preserve"> משיב כהלכה (חלק יו"ד סימן ט). ואכמ"ל). </w:t>
      </w:r>
      <w:proofErr w:type="spellStart"/>
      <w:r>
        <w:rPr>
          <w:rtl/>
        </w:rPr>
        <w:t>ובשו"ת</w:t>
      </w:r>
      <w:proofErr w:type="spellEnd"/>
      <w:r>
        <w:rPr>
          <w:rtl/>
        </w:rPr>
        <w:t xml:space="preserve"> משפטי עוזיאל (</w:t>
      </w:r>
      <w:proofErr w:type="spellStart"/>
      <w:r>
        <w:rPr>
          <w:rtl/>
        </w:rPr>
        <w:t>מהדורא</w:t>
      </w:r>
      <w:proofErr w:type="spellEnd"/>
      <w:r>
        <w:rPr>
          <w:rtl/>
        </w:rPr>
        <w:t xml:space="preserve"> </w:t>
      </w:r>
      <w:proofErr w:type="spellStart"/>
      <w:r>
        <w:rPr>
          <w:rtl/>
        </w:rPr>
        <w:t>תנינא</w:t>
      </w:r>
      <w:proofErr w:type="spellEnd"/>
      <w:r>
        <w:rPr>
          <w:rtl/>
        </w:rPr>
        <w:t xml:space="preserve"> חלק </w:t>
      </w:r>
      <w:proofErr w:type="spellStart"/>
      <w:r>
        <w:rPr>
          <w:rtl/>
        </w:rPr>
        <w:t>או"ח</w:t>
      </w:r>
      <w:proofErr w:type="spellEnd"/>
      <w:r>
        <w:rPr>
          <w:rtl/>
        </w:rPr>
        <w:t xml:space="preserve"> סימן י) הביא בקיצור דברי הגאון השואל רבי יעקב </w:t>
      </w:r>
      <w:r>
        <w:rPr>
          <w:rtl/>
        </w:rPr>
        <w:lastRenderedPageBreak/>
        <w:t xml:space="preserve">זריהן, אב"ד </w:t>
      </w:r>
      <w:proofErr w:type="spellStart"/>
      <w:r>
        <w:rPr>
          <w:rtl/>
        </w:rPr>
        <w:t>טבריא</w:t>
      </w:r>
      <w:proofErr w:type="spellEnd"/>
      <w:r>
        <w:rPr>
          <w:rtl/>
        </w:rPr>
        <w:t xml:space="preserve">, שנשא ונתן בהלכה זו, והעלה שדין זה שכהן שהרג את הנפש לא </w:t>
      </w:r>
      <w:proofErr w:type="spellStart"/>
      <w:r>
        <w:rPr>
          <w:rtl/>
        </w:rPr>
        <w:t>ישא</w:t>
      </w:r>
      <w:proofErr w:type="spellEnd"/>
      <w:r>
        <w:rPr>
          <w:rtl/>
        </w:rPr>
        <w:t xml:space="preserve"> כפיו, הוא רק בנפש ישראל, ושכ"כ שלמי צבור בשם הפרישה, והגאון המחבר כתב על זה, אם קבלה נקבל ואם לדין יש תשובה, שמאחר שדינו מסור לשמים, כמו שכתוב במכילתא (פרשת משפטים), לפיכך נפסל </w:t>
      </w:r>
      <w:proofErr w:type="spellStart"/>
      <w:r>
        <w:rPr>
          <w:rtl/>
        </w:rPr>
        <w:t>לישא</w:t>
      </w:r>
      <w:proofErr w:type="spellEnd"/>
      <w:r>
        <w:rPr>
          <w:rtl/>
        </w:rPr>
        <w:t xml:space="preserve"> כפיו מטעם אין </w:t>
      </w:r>
      <w:proofErr w:type="spellStart"/>
      <w:r>
        <w:rPr>
          <w:rtl/>
        </w:rPr>
        <w:t>קטיגור</w:t>
      </w:r>
      <w:proofErr w:type="spellEnd"/>
      <w:r>
        <w:rPr>
          <w:rtl/>
        </w:rPr>
        <w:t xml:space="preserve"> נעשה סניגור. ע"ש. ואף על פי שמצאנו תנא דמסייע ליה, הוא הצדה לדרך הנ"ל, על כל פנים בסתם גוי שאינו ידוע שהוא בחזקת שמקיים שבע מצוות של בני נח, נראה שהעיקר שאין לפסול את הכהן </w:t>
      </w:r>
      <w:proofErr w:type="spellStart"/>
      <w:r>
        <w:rPr>
          <w:rtl/>
        </w:rPr>
        <w:t>ההורגו</w:t>
      </w:r>
      <w:proofErr w:type="spellEnd"/>
      <w:r>
        <w:rPr>
          <w:rtl/>
        </w:rPr>
        <w:t xml:space="preserve"> לנשיאות כפים. ובאמת שבנידון שלנו אין אנו צריכים לכל זה, כי מלבד מה שכתב הפרי חדש (סימן </w:t>
      </w:r>
      <w:proofErr w:type="spellStart"/>
      <w:r>
        <w:rPr>
          <w:rtl/>
        </w:rPr>
        <w:t>קכח</w:t>
      </w:r>
      <w:proofErr w:type="spellEnd"/>
      <w:r>
        <w:rPr>
          <w:rtl/>
        </w:rPr>
        <w:t xml:space="preserve"> סעיף לה), שאם אנסוהו להרוג, נושא כפיו. והסכים עמו בספר בית מנוחה (דף קמא ע"א אות </w:t>
      </w:r>
      <w:proofErr w:type="spellStart"/>
      <w:r>
        <w:rPr>
          <w:rtl/>
        </w:rPr>
        <w:t>כז</w:t>
      </w:r>
      <w:proofErr w:type="spellEnd"/>
      <w:r>
        <w:rPr>
          <w:rtl/>
        </w:rPr>
        <w:t xml:space="preserve">). ואם כן הרי הכהן שעומד מול צבאות האויב וחשוף לסכנה, אין לך אונס גדול מזה. והבא להרגך השכם להורגו (ברכות סב:). ודין זה עדיף הרבה מנידון הפרי חדש, שהרי אפילו אם אונסים אותו להרוג את </w:t>
      </w:r>
      <w:proofErr w:type="spellStart"/>
      <w:r>
        <w:rPr>
          <w:rtl/>
        </w:rPr>
        <w:t>חבירו</w:t>
      </w:r>
      <w:proofErr w:type="spellEnd"/>
      <w:r>
        <w:rPr>
          <w:rtl/>
        </w:rPr>
        <w:t xml:space="preserve"> ישראל, </w:t>
      </w:r>
      <w:proofErr w:type="spellStart"/>
      <w:r>
        <w:rPr>
          <w:rtl/>
        </w:rPr>
        <w:t>יהרג</w:t>
      </w:r>
      <w:proofErr w:type="spellEnd"/>
      <w:r>
        <w:rPr>
          <w:rtl/>
        </w:rPr>
        <w:t xml:space="preserve"> ואל יעבור, וכמו שאמרו על זה בפסחים (דף כה:) מאי חזית </w:t>
      </w:r>
      <w:proofErr w:type="spellStart"/>
      <w:r>
        <w:rPr>
          <w:rtl/>
        </w:rPr>
        <w:t>דמא</w:t>
      </w:r>
      <w:proofErr w:type="spellEnd"/>
      <w:r>
        <w:rPr>
          <w:rtl/>
        </w:rPr>
        <w:t xml:space="preserve"> </w:t>
      </w:r>
      <w:proofErr w:type="spellStart"/>
      <w:r>
        <w:rPr>
          <w:rtl/>
        </w:rPr>
        <w:t>דידן</w:t>
      </w:r>
      <w:proofErr w:type="spellEnd"/>
      <w:r>
        <w:rPr>
          <w:rtl/>
        </w:rPr>
        <w:t xml:space="preserve"> /</w:t>
      </w:r>
      <w:proofErr w:type="spellStart"/>
      <w:r>
        <w:rPr>
          <w:rtl/>
        </w:rPr>
        <w:t>דידך</w:t>
      </w:r>
      <w:proofErr w:type="spellEnd"/>
      <w:r>
        <w:rPr>
          <w:rtl/>
        </w:rPr>
        <w:t xml:space="preserve">/ סומק טפי, דילמא </w:t>
      </w:r>
      <w:proofErr w:type="spellStart"/>
      <w:r>
        <w:rPr>
          <w:rtl/>
        </w:rPr>
        <w:t>דמא</w:t>
      </w:r>
      <w:proofErr w:type="spellEnd"/>
      <w:r>
        <w:rPr>
          <w:rtl/>
        </w:rPr>
        <w:t xml:space="preserve"> </w:t>
      </w:r>
      <w:proofErr w:type="spellStart"/>
      <w:r>
        <w:rPr>
          <w:rtl/>
        </w:rPr>
        <w:t>דחברך</w:t>
      </w:r>
      <w:proofErr w:type="spellEnd"/>
      <w:r>
        <w:rPr>
          <w:rtl/>
        </w:rPr>
        <w:t xml:space="preserve"> סומק טפי. והיא הלכה פסוקה ברמב"ם (פרק ה' מהלכות יסודי התורה), ובטור ושלחן ערוך יורה דעה (סימן קנז). ובכל זאת לא נפסל </w:t>
      </w:r>
      <w:proofErr w:type="spellStart"/>
      <w:r>
        <w:rPr>
          <w:rtl/>
        </w:rPr>
        <w:t>לישא</w:t>
      </w:r>
      <w:proofErr w:type="spellEnd"/>
      <w:r>
        <w:rPr>
          <w:rtl/>
        </w:rPr>
        <w:t xml:space="preserve"> כפיו כיון שאנוס הוא ולא ענה מלבו, אף על פי שעשה שלא כהוגן. כל שכן כאן </w:t>
      </w:r>
      <w:proofErr w:type="spellStart"/>
      <w:r>
        <w:rPr>
          <w:rtl/>
        </w:rPr>
        <w:t>שכהנים</w:t>
      </w:r>
      <w:proofErr w:type="spellEnd"/>
      <w:r>
        <w:rPr>
          <w:rtl/>
        </w:rPr>
        <w:t xml:space="preserve"> שהם חיילי צה"ל עומדים לגונן על ישראל ועל ארצנו הקדושה, שאין ספק </w:t>
      </w:r>
      <w:proofErr w:type="spellStart"/>
      <w:r>
        <w:rPr>
          <w:rtl/>
        </w:rPr>
        <w:t>שמצוה</w:t>
      </w:r>
      <w:proofErr w:type="spellEnd"/>
      <w:r>
        <w:rPr>
          <w:rtl/>
        </w:rPr>
        <w:t xml:space="preserve"> רבה הם עושים לקדם פני צבאות האויב הבאים לזרוע הרס ולהשמיד ולהרוג ולאבד אנשים נשים וטף, וזהו מה שפסק הרמב"ם (בפרק ה' מהלכות מלכים הלכה א), שעזרת ישראל מיד צר הבא עליהם היא בכלל מלחמת מצוה. ואם כן </w:t>
      </w:r>
      <w:proofErr w:type="spellStart"/>
      <w:r>
        <w:rPr>
          <w:rtl/>
        </w:rPr>
        <w:t>בודאי</w:t>
      </w:r>
      <w:proofErr w:type="spellEnd"/>
      <w:r>
        <w:rPr>
          <w:rtl/>
        </w:rPr>
        <w:t xml:space="preserve"> שאין ספק </w:t>
      </w:r>
      <w:proofErr w:type="spellStart"/>
      <w:r>
        <w:rPr>
          <w:rtl/>
        </w:rPr>
        <w:t>שכהנים</w:t>
      </w:r>
      <w:proofErr w:type="spellEnd"/>
      <w:r>
        <w:rPr>
          <w:rtl/>
        </w:rPr>
        <w:t xml:space="preserve"> אלה כשרים לנשיאות כפים +ולכאורה יש להעיר ממה שכתוב בדברי הימים א' (</w:t>
      </w:r>
      <w:proofErr w:type="spellStart"/>
      <w:r>
        <w:rPr>
          <w:rtl/>
        </w:rPr>
        <w:t>כב</w:t>
      </w:r>
      <w:proofErr w:type="spellEnd"/>
      <w:r>
        <w:rPr>
          <w:rtl/>
        </w:rPr>
        <w:t xml:space="preserve">, ח), שאמר ה' לדוד, דם לרוב שפכת ומלחמות גדולות עשית, לא תבנה בית לשמי כי דמים רבים שפכת ארצה לפני. הרי שאף על פי שמלחמות ה' נלחם, לא רצה הקדוש ברוך הוא שיבנה בית המקדש על ידו. (ועיין עוד בשמונה פרקים </w:t>
      </w:r>
      <w:proofErr w:type="spellStart"/>
      <w:r>
        <w:rPr>
          <w:rtl/>
        </w:rPr>
        <w:t>להרמב"ם</w:t>
      </w:r>
      <w:proofErr w:type="spellEnd"/>
      <w:r>
        <w:rPr>
          <w:rtl/>
        </w:rPr>
        <w:t xml:space="preserve">, פרק ז). אולם בפירוש </w:t>
      </w:r>
      <w:proofErr w:type="spellStart"/>
      <w:r>
        <w:rPr>
          <w:rtl/>
        </w:rPr>
        <w:t>הרד"ק</w:t>
      </w:r>
      <w:proofErr w:type="spellEnd"/>
      <w:r>
        <w:rPr>
          <w:rtl/>
        </w:rPr>
        <w:t xml:space="preserve"> שם כתב, שמה שאמר דם לרוב שפכת, כי דם נקיים היה, במה שגרם להחריב </w:t>
      </w:r>
      <w:proofErr w:type="spellStart"/>
      <w:r>
        <w:rPr>
          <w:rtl/>
        </w:rPr>
        <w:t>נוב</w:t>
      </w:r>
      <w:proofErr w:type="spellEnd"/>
      <w:r>
        <w:rPr>
          <w:rtl/>
        </w:rPr>
        <w:t xml:space="preserve"> עיר </w:t>
      </w:r>
      <w:proofErr w:type="spellStart"/>
      <w:r>
        <w:rPr>
          <w:rtl/>
        </w:rPr>
        <w:t>הכהנים</w:t>
      </w:r>
      <w:proofErr w:type="spellEnd"/>
      <w:r>
        <w:rPr>
          <w:rtl/>
        </w:rPr>
        <w:t xml:space="preserve">, והוא היה הסיבה להריגת </w:t>
      </w:r>
      <w:proofErr w:type="spellStart"/>
      <w:r>
        <w:rPr>
          <w:rtl/>
        </w:rPr>
        <w:t>הכהנים</w:t>
      </w:r>
      <w:proofErr w:type="spellEnd"/>
      <w:r>
        <w:rPr>
          <w:rtl/>
        </w:rPr>
        <w:t xml:space="preserve">, כמו שנאמר אנכי </w:t>
      </w:r>
      <w:proofErr w:type="spellStart"/>
      <w:r>
        <w:rPr>
          <w:rtl/>
        </w:rPr>
        <w:t>הסיבותי</w:t>
      </w:r>
      <w:proofErr w:type="spellEnd"/>
      <w:r>
        <w:rPr>
          <w:rtl/>
        </w:rPr>
        <w:t xml:space="preserve"> בכל נפש בית אביך. (ועיין עוד בסנהדרין </w:t>
      </w:r>
      <w:proofErr w:type="spellStart"/>
      <w:r>
        <w:rPr>
          <w:rtl/>
        </w:rPr>
        <w:t>צה</w:t>
      </w:r>
      <w:proofErr w:type="spellEnd"/>
      <w:r>
        <w:rPr>
          <w:rtl/>
        </w:rPr>
        <w:t xml:space="preserve"> ע"א) וגם בדמי </w:t>
      </w:r>
      <w:proofErr w:type="spellStart"/>
      <w:r>
        <w:rPr>
          <w:rtl/>
        </w:rPr>
        <w:t>הגוים</w:t>
      </w:r>
      <w:proofErr w:type="spellEnd"/>
      <w:r>
        <w:rPr>
          <w:rtl/>
        </w:rPr>
        <w:t xml:space="preserve"> אשר שפך אותם, שלא היו בני מלחמתו, ואפשר שהיו בהם אנשים טובים וחסידים, ואף על פי כן לא נענש על זה, שכוונתו </w:t>
      </w:r>
      <w:proofErr w:type="spellStart"/>
      <w:r>
        <w:rPr>
          <w:rtl/>
        </w:rPr>
        <w:t>היתה</w:t>
      </w:r>
      <w:proofErr w:type="spellEnd"/>
      <w:r>
        <w:rPr>
          <w:rtl/>
        </w:rPr>
        <w:t xml:space="preserve"> לכלות הרשעים שלא יפרצו בישראל, אלא כיון שנזדמן על ידו שפיכות דמים לרוב, מנעו הקדוש ברוך הוא מלבנות בית המקדש שהוא לשלום ולכפרת </w:t>
      </w:r>
      <w:proofErr w:type="spellStart"/>
      <w:r>
        <w:rPr>
          <w:rtl/>
        </w:rPr>
        <w:t>עון</w:t>
      </w:r>
      <w:proofErr w:type="spellEnd"/>
      <w:r>
        <w:rPr>
          <w:rtl/>
        </w:rPr>
        <w:t xml:space="preserve"> ולעטרת תפלה. ע"כ. ומשמע שעל עצם המלחמות לא היה ראוי </w:t>
      </w:r>
      <w:proofErr w:type="spellStart"/>
      <w:r>
        <w:rPr>
          <w:rtl/>
        </w:rPr>
        <w:t>למונעו</w:t>
      </w:r>
      <w:proofErr w:type="spellEnd"/>
      <w:r>
        <w:rPr>
          <w:rtl/>
        </w:rPr>
        <w:t xml:space="preserve">. ועיין עוד בילקוט שמעוני שמואל ב' (רמז קמה). וע' בפירוש </w:t>
      </w:r>
      <w:proofErr w:type="spellStart"/>
      <w:r>
        <w:rPr>
          <w:rtl/>
        </w:rPr>
        <w:t>רלב"ג</w:t>
      </w:r>
      <w:proofErr w:type="spellEnd"/>
      <w:r>
        <w:rPr>
          <w:rtl/>
        </w:rPr>
        <w:t xml:space="preserve"> מלכים א' (פרק ז פסוק נא). </w:t>
      </w:r>
      <w:proofErr w:type="spellStart"/>
      <w:r>
        <w:rPr>
          <w:rtl/>
        </w:rPr>
        <w:t>ודו"ק</w:t>
      </w:r>
      <w:proofErr w:type="spellEnd"/>
      <w:r>
        <w:rPr>
          <w:rtl/>
        </w:rPr>
        <w:t xml:space="preserve"> היטב כי קצרתי.+ (ועיין בתוספות עבודה זרה דף </w:t>
      </w:r>
      <w:proofErr w:type="spellStart"/>
      <w:r>
        <w:rPr>
          <w:rtl/>
        </w:rPr>
        <w:t>כו</w:t>
      </w:r>
      <w:proofErr w:type="spellEnd"/>
      <w:r>
        <w:rPr>
          <w:rtl/>
        </w:rPr>
        <w:t xml:space="preserve"> רע"ב, </w:t>
      </w:r>
      <w:proofErr w:type="spellStart"/>
      <w:r>
        <w:rPr>
          <w:rtl/>
        </w:rPr>
        <w:t>דהא</w:t>
      </w:r>
      <w:proofErr w:type="spellEnd"/>
      <w:r>
        <w:rPr>
          <w:rtl/>
        </w:rPr>
        <w:t xml:space="preserve"> </w:t>
      </w:r>
      <w:proofErr w:type="spellStart"/>
      <w:r>
        <w:rPr>
          <w:rtl/>
        </w:rPr>
        <w:t>דאמרינן</w:t>
      </w:r>
      <w:proofErr w:type="spellEnd"/>
      <w:r>
        <w:rPr>
          <w:rtl/>
        </w:rPr>
        <w:t xml:space="preserve"> במסכת סופרים פרק טו, כשר שבעכו"ם הרוג, היינו בשעת מלחמה. ועיין עוד בתוספות עבודה זרה (דף י:) ד"ה חד </w:t>
      </w:r>
      <w:proofErr w:type="spellStart"/>
      <w:r>
        <w:rPr>
          <w:rtl/>
        </w:rPr>
        <w:t>קטיל</w:t>
      </w:r>
      <w:proofErr w:type="spellEnd"/>
      <w:r>
        <w:rPr>
          <w:rtl/>
        </w:rPr>
        <w:t xml:space="preserve">). ואמנם האריכו האחרונים בתשובותיהם בדין חיילים </w:t>
      </w:r>
      <w:proofErr w:type="spellStart"/>
      <w:r>
        <w:rPr>
          <w:rtl/>
        </w:rPr>
        <w:t>כהנים</w:t>
      </w:r>
      <w:proofErr w:type="spellEnd"/>
      <w:r>
        <w:rPr>
          <w:rtl/>
        </w:rPr>
        <w:t xml:space="preserve"> שחזרו ממערכות המלחמה אם כשרים הם לנשיאות כפים, כשיודעים שפגעו בצבאות האויב, (עיין </w:t>
      </w:r>
      <w:proofErr w:type="spellStart"/>
      <w:r>
        <w:rPr>
          <w:rtl/>
        </w:rPr>
        <w:t>בשו"ת</w:t>
      </w:r>
      <w:proofErr w:type="spellEnd"/>
      <w:r>
        <w:rPr>
          <w:rtl/>
        </w:rPr>
        <w:t xml:space="preserve"> צבי תפארת סימן </w:t>
      </w:r>
      <w:proofErr w:type="spellStart"/>
      <w:r>
        <w:rPr>
          <w:rtl/>
        </w:rPr>
        <w:t>לז</w:t>
      </w:r>
      <w:proofErr w:type="spellEnd"/>
      <w:r>
        <w:rPr>
          <w:rtl/>
        </w:rPr>
        <w:t xml:space="preserve">, </w:t>
      </w:r>
      <w:proofErr w:type="spellStart"/>
      <w:r>
        <w:rPr>
          <w:rtl/>
        </w:rPr>
        <w:t>ובשו"ת</w:t>
      </w:r>
      <w:proofErr w:type="spellEnd"/>
      <w:r>
        <w:rPr>
          <w:rtl/>
        </w:rPr>
        <w:t xml:space="preserve"> לבושי מרדכי, </w:t>
      </w:r>
      <w:proofErr w:type="spellStart"/>
      <w:r>
        <w:rPr>
          <w:rtl/>
        </w:rPr>
        <w:t>תנינא</w:t>
      </w:r>
      <w:proofErr w:type="spellEnd"/>
      <w:r>
        <w:rPr>
          <w:rtl/>
        </w:rPr>
        <w:t xml:space="preserve">, חלק </w:t>
      </w:r>
      <w:proofErr w:type="spellStart"/>
      <w:r>
        <w:rPr>
          <w:rtl/>
        </w:rPr>
        <w:t>או"ח</w:t>
      </w:r>
      <w:proofErr w:type="spellEnd"/>
      <w:r>
        <w:rPr>
          <w:rtl/>
        </w:rPr>
        <w:t xml:space="preserve"> סימן </w:t>
      </w:r>
      <w:proofErr w:type="spellStart"/>
      <w:r>
        <w:rPr>
          <w:rtl/>
        </w:rPr>
        <w:t>יז</w:t>
      </w:r>
      <w:proofErr w:type="spellEnd"/>
      <w:r>
        <w:rPr>
          <w:rtl/>
        </w:rPr>
        <w:t xml:space="preserve">, </w:t>
      </w:r>
      <w:proofErr w:type="spellStart"/>
      <w:r>
        <w:rPr>
          <w:rtl/>
        </w:rPr>
        <w:t>ובשו"ת</w:t>
      </w:r>
      <w:proofErr w:type="spellEnd"/>
      <w:r>
        <w:rPr>
          <w:rtl/>
        </w:rPr>
        <w:t xml:space="preserve"> ויצבור יוסף </w:t>
      </w:r>
      <w:proofErr w:type="spellStart"/>
      <w:r>
        <w:rPr>
          <w:rtl/>
        </w:rPr>
        <w:t>שווארץ</w:t>
      </w:r>
      <w:proofErr w:type="spellEnd"/>
      <w:r>
        <w:rPr>
          <w:rtl/>
        </w:rPr>
        <w:t xml:space="preserve"> סימן לו. ועוד). אולם הם דיברו לפי מקומם ושעתם, והדיון נסב בעיקר מפני שהרגו מצבאות וחיילי האויב, אשר בתוכם יהודים </w:t>
      </w:r>
      <w:proofErr w:type="spellStart"/>
      <w:r>
        <w:rPr>
          <w:rtl/>
        </w:rPr>
        <w:t>שגוייסו</w:t>
      </w:r>
      <w:proofErr w:type="spellEnd"/>
      <w:r>
        <w:rPr>
          <w:rtl/>
        </w:rPr>
        <w:t xml:space="preserve"> לצבא, אבל כאן במלחמת מגן זו ששמו נפשם בכפם לקדם פני האויב, להציל נפשות ישראל, אדרבה ראוי לומר להם תחזקנה ידיהם ויישר כחם. והדבר ברור ללא צל של ספק שכשרים והגונים הם לנשיאות כפים, ויבורכו מפי עליון. </w:t>
      </w:r>
      <w:proofErr w:type="spellStart"/>
      <w:r>
        <w:rPr>
          <w:rtl/>
        </w:rPr>
        <w:t>ויקויים</w:t>
      </w:r>
      <w:proofErr w:type="spellEnd"/>
      <w:r>
        <w:rPr>
          <w:rtl/>
        </w:rPr>
        <w:t xml:space="preserve"> על ידם ושמו את שמי על בני ישראל ואני אברכם.    </w:t>
      </w:r>
    </w:p>
    <w:p w14:paraId="6D7E1B87" w14:textId="5D21D5A0" w:rsidR="00E00AC2" w:rsidRPr="00E00AC2" w:rsidRDefault="00261A53" w:rsidP="00261A53">
      <w:pPr>
        <w:pStyle w:val="Heading2"/>
        <w:rPr>
          <w:rtl/>
        </w:rPr>
      </w:pPr>
      <w:r>
        <w:rPr>
          <w:rFonts w:hint="cs"/>
          <w:rtl/>
        </w:rPr>
        <w:t>נפש הרב עמ' קלב</w:t>
      </w:r>
    </w:p>
    <w:sectPr w:rsidR="00E00AC2" w:rsidRPr="00E00A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BED1" w14:textId="77777777" w:rsidR="00E81F6D" w:rsidRDefault="00E81F6D" w:rsidP="009F4441">
      <w:pPr>
        <w:spacing w:after="0" w:line="240" w:lineRule="auto"/>
      </w:pPr>
      <w:r>
        <w:separator/>
      </w:r>
    </w:p>
  </w:endnote>
  <w:endnote w:type="continuationSeparator" w:id="0">
    <w:p w14:paraId="184EFCD8" w14:textId="77777777" w:rsidR="00E81F6D" w:rsidRDefault="00E81F6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259F"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B3D9" w14:textId="77777777" w:rsidR="00E81F6D" w:rsidRDefault="00E81F6D" w:rsidP="009F4441">
      <w:pPr>
        <w:spacing w:after="0" w:line="240" w:lineRule="auto"/>
      </w:pPr>
      <w:r>
        <w:separator/>
      </w:r>
    </w:p>
  </w:footnote>
  <w:footnote w:type="continuationSeparator" w:id="0">
    <w:p w14:paraId="587FD931" w14:textId="77777777" w:rsidR="00E81F6D" w:rsidRDefault="00E81F6D" w:rsidP="009F4441">
      <w:pPr>
        <w:spacing w:after="0" w:line="240" w:lineRule="auto"/>
      </w:pPr>
      <w:r>
        <w:continuationSeparator/>
      </w:r>
    </w:p>
  </w:footnote>
  <w:footnote w:id="1">
    <w:p w14:paraId="00390990" w14:textId="77990BCC" w:rsidR="00ED3B21" w:rsidRDefault="00ED3B21">
      <w:pPr>
        <w:pStyle w:val="FootnoteText"/>
        <w:rPr>
          <w:rFonts w:hint="cs"/>
        </w:rPr>
      </w:pPr>
      <w:r>
        <w:rPr>
          <w:rStyle w:val="FootnoteReference"/>
        </w:rPr>
        <w:footnoteRef/>
      </w:r>
      <w:r>
        <w:rPr>
          <w:rtl/>
        </w:rPr>
        <w:t xml:space="preserve"> </w:t>
      </w:r>
      <w:r>
        <w:rPr>
          <w:rFonts w:hint="cs"/>
          <w:rtl/>
        </w:rPr>
        <w:t xml:space="preserve">ע' באתר </w:t>
      </w:r>
      <w:hyperlink r:id="rId1" w:history="1">
        <w:r w:rsidRPr="00ED3B21">
          <w:rPr>
            <w:rStyle w:val="Hyperlink"/>
            <w:rFonts w:hint="cs"/>
            <w:rtl/>
          </w:rPr>
          <w:t>חב"ד</w:t>
        </w:r>
      </w:hyperlink>
      <w:bookmarkStart w:id="0" w:name="_GoBack"/>
      <w:bookmarkEnd w:id="0"/>
      <w:r>
        <w:rPr>
          <w:rFonts w:hint="cs"/>
          <w:rtl/>
        </w:rPr>
        <w:t xml:space="preserve"> למנהגם</w:t>
      </w:r>
    </w:p>
  </w:footnote>
  <w:footnote w:id="2">
    <w:p w14:paraId="412F791B" w14:textId="0B74E2BA" w:rsidR="00624958" w:rsidRDefault="00624958">
      <w:pPr>
        <w:pStyle w:val="FootnoteText"/>
      </w:pPr>
      <w:r>
        <w:rPr>
          <w:rStyle w:val="FootnoteReference"/>
        </w:rPr>
        <w:footnoteRef/>
      </w:r>
      <w:r>
        <w:rPr>
          <w:rtl/>
        </w:rPr>
        <w:t xml:space="preserve"> </w:t>
      </w:r>
      <w:r>
        <w:rPr>
          <w:rFonts w:hint="cs"/>
          <w:rtl/>
        </w:rPr>
        <w:t>וכן דן עוד בזה בחלקים ג</w:t>
      </w:r>
      <w:r w:rsidR="000A1CC0">
        <w:rPr>
          <w:rFonts w:hint="cs"/>
          <w:rtl/>
        </w:rPr>
        <w:t>'</w:t>
      </w:r>
      <w:r>
        <w:rPr>
          <w:rFonts w:hint="cs"/>
          <w:rtl/>
        </w:rPr>
        <w:t>, ה</w:t>
      </w:r>
      <w:r w:rsidR="000A1CC0">
        <w:rPr>
          <w:rFonts w:hint="cs"/>
          <w:rtl/>
        </w:rPr>
        <w:t>'</w:t>
      </w:r>
      <w:r>
        <w:rPr>
          <w:rFonts w:hint="cs"/>
          <w:rtl/>
        </w:rPr>
        <w:t>, ח</w:t>
      </w:r>
      <w:r w:rsidR="000A1CC0">
        <w:rPr>
          <w:rFonts w:hint="cs"/>
          <w:rtl/>
        </w:rPr>
        <w:t>'</w:t>
      </w:r>
      <w:r>
        <w:rPr>
          <w:rFonts w:hint="cs"/>
          <w:rtl/>
        </w:rPr>
        <w:t>, וי</w:t>
      </w:r>
      <w:r w:rsidR="000A1CC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D60E" w14:textId="51BDB429"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00EC1263">
      <w:rPr>
        <w:rFonts w:hint="cs"/>
        <w:rtl/>
      </w:rPr>
      <w:t xml:space="preserve">                               </w:t>
    </w:r>
    <w:r w:rsidR="009B59CD">
      <w:rPr>
        <w:rFonts w:hint="cs"/>
        <w:rtl/>
      </w:rPr>
      <w:t xml:space="preserve"> </w:t>
    </w:r>
    <w:r w:rsidRPr="00C52284">
      <w:rPr>
        <w:rtl/>
      </w:rPr>
      <w:t xml:space="preserve"> </w:t>
    </w:r>
    <w:r>
      <w:rPr>
        <w:rFonts w:hint="cs"/>
        <w:rtl/>
      </w:rPr>
      <w:t xml:space="preserve">מסכת </w:t>
    </w:r>
    <w:r w:rsidR="00EC1263">
      <w:rPr>
        <w:rFonts w:hint="cs"/>
        <w:rtl/>
      </w:rPr>
      <w:t>ברכות ל:-לב:</w:t>
    </w:r>
  </w:p>
  <w:p w14:paraId="609786AA" w14:textId="6C426E22" w:rsidR="00E019E9" w:rsidRPr="009F4441" w:rsidRDefault="00E019E9" w:rsidP="000D7D13">
    <w:pPr>
      <w:spacing w:after="0" w:line="240" w:lineRule="auto"/>
    </w:pPr>
    <w:r w:rsidRPr="00C52284">
      <w:rPr>
        <w:rtl/>
      </w:rPr>
      <w:t>‏</w:t>
    </w:r>
    <w:r>
      <w:rPr>
        <w:rFonts w:hint="cs"/>
        <w:rtl/>
      </w:rPr>
      <w:t>‏</w:t>
    </w:r>
    <w:r w:rsidR="009B59CD" w:rsidRPr="009B59CD">
      <w:rPr>
        <w:rtl/>
      </w:rPr>
      <w:t>‏ט' סיון תשע"ח</w:t>
    </w:r>
    <w:r w:rsidR="009B59CD" w:rsidRPr="009B59CD">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EC1263">
      <w:rPr>
        <w:rFonts w:hint="cs"/>
        <w:rtl/>
      </w:rPr>
      <w:t xml:space="preserve">        </w:t>
    </w:r>
    <w:r w:rsidRPr="00C52284">
      <w:rPr>
        <w:rtl/>
      </w:rPr>
      <w:t xml:space="preserve">שיעור </w:t>
    </w:r>
    <w:r w:rsidR="00EC1263">
      <w:rPr>
        <w:rFonts w:hint="cs"/>
        <w:rtl/>
      </w:rPr>
      <w:t>קי"א</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6D"/>
    <w:rsid w:val="000A1CC0"/>
    <w:rsid w:val="000C25FD"/>
    <w:rsid w:val="000D7D13"/>
    <w:rsid w:val="001A3E2F"/>
    <w:rsid w:val="00261A53"/>
    <w:rsid w:val="002D7162"/>
    <w:rsid w:val="0036546F"/>
    <w:rsid w:val="00624958"/>
    <w:rsid w:val="00771609"/>
    <w:rsid w:val="007B3D45"/>
    <w:rsid w:val="00856CAB"/>
    <w:rsid w:val="009B59CD"/>
    <w:rsid w:val="009F4441"/>
    <w:rsid w:val="00B53BF2"/>
    <w:rsid w:val="00C47AA7"/>
    <w:rsid w:val="00C8003C"/>
    <w:rsid w:val="00C910EA"/>
    <w:rsid w:val="00E00AC2"/>
    <w:rsid w:val="00E019E9"/>
    <w:rsid w:val="00E40279"/>
    <w:rsid w:val="00E42B6E"/>
    <w:rsid w:val="00E81F6D"/>
    <w:rsid w:val="00EC1263"/>
    <w:rsid w:val="00ED3B21"/>
    <w:rsid w:val="00F135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846"/>
  <w15:chartTrackingRefBased/>
  <w15:docId w15:val="{2531CF55-5948-4F05-80D7-F4AC78CA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0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856CAB"/>
    <w:rPr>
      <w:color w:val="0563C1" w:themeColor="hyperlink"/>
      <w:u w:val="single"/>
    </w:rPr>
  </w:style>
  <w:style w:type="character" w:styleId="UnresolvedMention">
    <w:name w:val="Unresolved Mention"/>
    <w:basedOn w:val="DefaultParagraphFont"/>
    <w:uiPriority w:val="99"/>
    <w:semiHidden/>
    <w:unhideWhenUsed/>
    <w:rsid w:val="00856CAB"/>
    <w:rPr>
      <w:color w:val="808080"/>
      <w:shd w:val="clear" w:color="auto" w:fill="E6E6E6"/>
    </w:rPr>
  </w:style>
  <w:style w:type="paragraph" w:styleId="FootnoteText">
    <w:name w:val="footnote text"/>
    <w:basedOn w:val="Normal"/>
    <w:link w:val="FootnoteTextChar"/>
    <w:uiPriority w:val="99"/>
    <w:semiHidden/>
    <w:unhideWhenUsed/>
    <w:rsid w:val="00624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58"/>
    <w:rPr>
      <w:rFonts w:ascii="Narkisim" w:hAnsi="Narkisim" w:cs="Narkisim"/>
      <w:sz w:val="20"/>
      <w:szCs w:val="20"/>
    </w:rPr>
  </w:style>
  <w:style w:type="character" w:styleId="FootnoteReference">
    <w:name w:val="footnote reference"/>
    <w:basedOn w:val="DefaultParagraphFont"/>
    <w:uiPriority w:val="99"/>
    <w:semiHidden/>
    <w:unhideWhenUsed/>
    <w:rsid w:val="00624958"/>
    <w:rPr>
      <w:vertAlign w:val="superscript"/>
    </w:rPr>
  </w:style>
  <w:style w:type="character" w:customStyle="1" w:styleId="Heading4Char">
    <w:name w:val="Heading 4 Char"/>
    <w:basedOn w:val="DefaultParagraphFont"/>
    <w:link w:val="Heading4"/>
    <w:uiPriority w:val="9"/>
    <w:semiHidden/>
    <w:rsid w:val="00E00AC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52516&amp;st=&amp;pgnum=7"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52515&amp;st=&amp;pgnum=184&amp;hil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therebbe/letters/default_cdo/aid/2277099/jewish/Letter-No-779-The-Custom-of-Reciting-Chazak-Chazak-Venischazeik-at-the-Conclusion-of-the-Reading-of-a-Torah-Scrol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40</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18</cp:revision>
  <dcterms:created xsi:type="dcterms:W3CDTF">2018-05-23T17:01:00Z</dcterms:created>
  <dcterms:modified xsi:type="dcterms:W3CDTF">2018-05-24T14:17:00Z</dcterms:modified>
</cp:coreProperties>
</file>