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F0710"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7A4EACFA" w14:textId="77777777" w:rsidR="009F4441" w:rsidRDefault="008132CA" w:rsidP="009F4441">
      <w:pPr>
        <w:pStyle w:val="Subtitle"/>
        <w:rPr>
          <w:rtl/>
        </w:rPr>
      </w:pPr>
      <w:r>
        <w:rPr>
          <w:rFonts w:hint="cs"/>
          <w:rtl/>
        </w:rPr>
        <w:t>דיני ריבית</w:t>
      </w:r>
    </w:p>
    <w:p w14:paraId="4CBDCAFA" w14:textId="0A8DE516" w:rsidR="00055916" w:rsidRDefault="00055916" w:rsidP="001936CE">
      <w:pPr>
        <w:pStyle w:val="Heading1"/>
      </w:pPr>
      <w:bookmarkStart w:id="0" w:name="_Toc511145775"/>
      <w:bookmarkStart w:id="1" w:name="_Ref466288258"/>
      <w:r>
        <w:rPr>
          <w:rFonts w:hint="cs"/>
          <w:rtl/>
        </w:rPr>
        <w:t xml:space="preserve">ריבית – החזרת </w:t>
      </w:r>
      <w:proofErr w:type="spellStart"/>
      <w:r>
        <w:rPr>
          <w:rFonts w:hint="cs"/>
          <w:rtl/>
        </w:rPr>
        <w:t>רבית</w:t>
      </w:r>
      <w:proofErr w:type="spellEnd"/>
      <w:r>
        <w:rPr>
          <w:rStyle w:val="FootnoteReference"/>
          <w:rFonts w:eastAsiaTheme="minorHAnsi"/>
          <w:rtl/>
        </w:rPr>
        <w:footnoteReference w:id="1"/>
      </w:r>
      <w:bookmarkEnd w:id="0"/>
      <w:bookmarkEnd w:id="1"/>
    </w:p>
    <w:p w14:paraId="2820C1B9" w14:textId="77777777" w:rsidR="00055916" w:rsidRDefault="00055916" w:rsidP="00055916">
      <w:pPr>
        <w:pStyle w:val="Heading4"/>
        <w:rPr>
          <w:rFonts w:eastAsiaTheme="minorHAnsi"/>
          <w:rtl/>
        </w:rPr>
      </w:pPr>
      <w:r>
        <w:rPr>
          <w:rFonts w:eastAsiaTheme="minorHAnsi" w:hint="cs"/>
          <w:rtl/>
        </w:rPr>
        <w:t>קידושין ו:</w:t>
      </w:r>
    </w:p>
    <w:p w14:paraId="515E24FE" w14:textId="77777777" w:rsidR="00055916" w:rsidRDefault="00055916" w:rsidP="00055916">
      <w:pPr>
        <w:pStyle w:val="Heading2"/>
        <w:rPr>
          <w:rtl/>
        </w:rPr>
      </w:pPr>
      <w:proofErr w:type="spellStart"/>
      <w:r>
        <w:rPr>
          <w:rFonts w:hint="cs"/>
          <w:rtl/>
        </w:rPr>
        <w:t>ריטב"א</w:t>
      </w:r>
      <w:proofErr w:type="spellEnd"/>
      <w:r>
        <w:rPr>
          <w:rFonts w:hint="cs"/>
          <w:rtl/>
        </w:rPr>
        <w:t xml:space="preserve"> קידושין ו: ד"ה בהנאת </w:t>
      </w:r>
      <w:proofErr w:type="spellStart"/>
      <w:r>
        <w:rPr>
          <w:rFonts w:hint="cs"/>
          <w:rtl/>
        </w:rPr>
        <w:t>מלוה</w:t>
      </w:r>
      <w:proofErr w:type="spellEnd"/>
      <w:r>
        <w:rPr>
          <w:rFonts w:hint="cs"/>
          <w:rtl/>
        </w:rPr>
        <w:t xml:space="preserve"> מקודשת ואסור לעשות כן מפני הערמת </w:t>
      </w:r>
      <w:proofErr w:type="spellStart"/>
      <w:r>
        <w:rPr>
          <w:rFonts w:hint="cs"/>
          <w:rtl/>
        </w:rPr>
        <w:t>רבית</w:t>
      </w:r>
      <w:proofErr w:type="spellEnd"/>
    </w:p>
    <w:p w14:paraId="23BE0B74" w14:textId="77777777" w:rsidR="00055916" w:rsidRDefault="00055916" w:rsidP="00055916">
      <w:pPr>
        <w:rPr>
          <w:rtl/>
        </w:rPr>
      </w:pPr>
      <w:proofErr w:type="spellStart"/>
      <w:r>
        <w:rPr>
          <w:rFonts w:hint="cs"/>
          <w:rtl/>
        </w:rPr>
        <w:t>אמרינן</w:t>
      </w:r>
      <w:proofErr w:type="spellEnd"/>
      <w:r>
        <w:rPr>
          <w:rFonts w:hint="cs"/>
          <w:rtl/>
        </w:rPr>
        <w:t xml:space="preserve"> האי הנאת </w:t>
      </w:r>
      <w:proofErr w:type="spellStart"/>
      <w:r>
        <w:rPr>
          <w:rFonts w:hint="cs"/>
          <w:rtl/>
        </w:rPr>
        <w:t>מלוה</w:t>
      </w:r>
      <w:proofErr w:type="spellEnd"/>
      <w:r>
        <w:rPr>
          <w:rFonts w:hint="cs"/>
          <w:rtl/>
        </w:rPr>
        <w:t xml:space="preserve"> </w:t>
      </w:r>
      <w:proofErr w:type="spellStart"/>
      <w:r>
        <w:rPr>
          <w:rFonts w:hint="cs"/>
          <w:rtl/>
        </w:rPr>
        <w:t>היכי</w:t>
      </w:r>
      <w:proofErr w:type="spellEnd"/>
      <w:r>
        <w:rPr>
          <w:rFonts w:hint="cs"/>
          <w:rtl/>
        </w:rPr>
        <w:t xml:space="preserve"> דמי </w:t>
      </w:r>
      <w:proofErr w:type="spellStart"/>
      <w:r>
        <w:rPr>
          <w:rFonts w:hint="cs"/>
          <w:rtl/>
        </w:rPr>
        <w:t>אילימא</w:t>
      </w:r>
      <w:proofErr w:type="spellEnd"/>
      <w:r>
        <w:rPr>
          <w:rFonts w:hint="cs"/>
          <w:rtl/>
        </w:rPr>
        <w:t xml:space="preserve"> </w:t>
      </w:r>
      <w:proofErr w:type="spellStart"/>
      <w:r>
        <w:rPr>
          <w:rFonts w:hint="cs"/>
          <w:rtl/>
        </w:rPr>
        <w:t>דאמר</w:t>
      </w:r>
      <w:proofErr w:type="spellEnd"/>
      <w:r>
        <w:rPr>
          <w:rFonts w:hint="cs"/>
          <w:rtl/>
        </w:rPr>
        <w:t xml:space="preserve"> לה ארבע בחמשה. פי' וקידשה בזוז החמישי של </w:t>
      </w:r>
      <w:proofErr w:type="spellStart"/>
      <w:r>
        <w:rPr>
          <w:rFonts w:hint="cs"/>
          <w:rtl/>
        </w:rPr>
        <w:t>רבית</w:t>
      </w:r>
      <w:proofErr w:type="spellEnd"/>
      <w:r>
        <w:rPr>
          <w:rFonts w:hint="cs"/>
          <w:rtl/>
        </w:rPr>
        <w:t xml:space="preserve"> שהיא חייבת לו. </w:t>
      </w:r>
      <w:proofErr w:type="spellStart"/>
      <w:r>
        <w:rPr>
          <w:rFonts w:hint="cs"/>
          <w:rtl/>
        </w:rPr>
        <w:t>רבית</w:t>
      </w:r>
      <w:proofErr w:type="spellEnd"/>
      <w:r>
        <w:rPr>
          <w:rFonts w:hint="cs"/>
          <w:rtl/>
        </w:rPr>
        <w:t xml:space="preserve"> </w:t>
      </w:r>
      <w:proofErr w:type="spellStart"/>
      <w:r>
        <w:rPr>
          <w:rFonts w:hint="cs"/>
          <w:rtl/>
        </w:rPr>
        <w:t>מעלייתא</w:t>
      </w:r>
      <w:proofErr w:type="spellEnd"/>
      <w:r>
        <w:rPr>
          <w:rFonts w:hint="cs"/>
          <w:rtl/>
        </w:rPr>
        <w:t xml:space="preserve"> הוא. פי' לישנא בעלמא </w:t>
      </w:r>
      <w:proofErr w:type="spellStart"/>
      <w:r>
        <w:rPr>
          <w:rFonts w:hint="cs"/>
          <w:rtl/>
        </w:rPr>
        <w:t>קא</w:t>
      </w:r>
      <w:proofErr w:type="spellEnd"/>
      <w:r>
        <w:rPr>
          <w:rFonts w:hint="cs"/>
          <w:rtl/>
        </w:rPr>
        <w:t xml:space="preserve"> </w:t>
      </w:r>
      <w:proofErr w:type="spellStart"/>
      <w:r>
        <w:rPr>
          <w:rFonts w:hint="cs"/>
          <w:rtl/>
        </w:rPr>
        <w:t>קשיא</w:t>
      </w:r>
      <w:proofErr w:type="spellEnd"/>
      <w:r>
        <w:rPr>
          <w:rFonts w:hint="cs"/>
          <w:rtl/>
        </w:rPr>
        <w:t xml:space="preserve"> ליה </w:t>
      </w:r>
      <w:proofErr w:type="spellStart"/>
      <w:r>
        <w:rPr>
          <w:rFonts w:hint="cs"/>
          <w:rtl/>
        </w:rPr>
        <w:t>היכי</w:t>
      </w:r>
      <w:proofErr w:type="spellEnd"/>
      <w:r>
        <w:rPr>
          <w:rFonts w:hint="cs"/>
          <w:rtl/>
        </w:rPr>
        <w:t xml:space="preserve"> קרי ליה הערמת </w:t>
      </w:r>
      <w:proofErr w:type="spellStart"/>
      <w:r>
        <w:rPr>
          <w:rFonts w:hint="cs"/>
          <w:rtl/>
        </w:rPr>
        <w:t>רבית</w:t>
      </w:r>
      <w:proofErr w:type="spellEnd"/>
      <w:r>
        <w:rPr>
          <w:rFonts w:hint="cs"/>
          <w:rtl/>
        </w:rPr>
        <w:t xml:space="preserve">, אבל ודאי אפילו </w:t>
      </w:r>
      <w:proofErr w:type="spellStart"/>
      <w:r>
        <w:rPr>
          <w:rFonts w:hint="cs"/>
          <w:rtl/>
        </w:rPr>
        <w:t>ברבית</w:t>
      </w:r>
      <w:proofErr w:type="spellEnd"/>
      <w:r>
        <w:rPr>
          <w:rFonts w:hint="cs"/>
          <w:rtl/>
        </w:rPr>
        <w:t xml:space="preserve"> גמורה אם כבר </w:t>
      </w:r>
      <w:proofErr w:type="spellStart"/>
      <w:r>
        <w:rPr>
          <w:rFonts w:hint="cs"/>
          <w:rtl/>
        </w:rPr>
        <w:t>פרעתו</w:t>
      </w:r>
      <w:proofErr w:type="spellEnd"/>
      <w:r>
        <w:rPr>
          <w:rFonts w:hint="cs"/>
          <w:rtl/>
        </w:rPr>
        <w:t xml:space="preserve"> לו וחזר וקידשה בו מקודשת, דמעות </w:t>
      </w:r>
      <w:proofErr w:type="spellStart"/>
      <w:r>
        <w:rPr>
          <w:rFonts w:hint="cs"/>
          <w:rtl/>
        </w:rPr>
        <w:t>דרבית</w:t>
      </w:r>
      <w:proofErr w:type="spellEnd"/>
      <w:r>
        <w:rPr>
          <w:rFonts w:hint="cs"/>
          <w:rtl/>
        </w:rPr>
        <w:t xml:space="preserve"> שפרעם </w:t>
      </w:r>
      <w:proofErr w:type="spellStart"/>
      <w:r>
        <w:rPr>
          <w:rFonts w:hint="cs"/>
          <w:rtl/>
        </w:rPr>
        <w:t>לוה</w:t>
      </w:r>
      <w:proofErr w:type="spellEnd"/>
      <w:r>
        <w:rPr>
          <w:rFonts w:hint="cs"/>
          <w:rtl/>
        </w:rPr>
        <w:t xml:space="preserve"> </w:t>
      </w:r>
      <w:proofErr w:type="spellStart"/>
      <w:r>
        <w:rPr>
          <w:rFonts w:hint="cs"/>
          <w:rtl/>
        </w:rPr>
        <w:t>למלוה</w:t>
      </w:r>
      <w:proofErr w:type="spellEnd"/>
      <w:r>
        <w:rPr>
          <w:rFonts w:hint="cs"/>
          <w:rtl/>
        </w:rPr>
        <w:t xml:space="preserve"> </w:t>
      </w:r>
      <w:proofErr w:type="spellStart"/>
      <w:r>
        <w:rPr>
          <w:rFonts w:hint="cs"/>
          <w:rtl/>
        </w:rPr>
        <w:t>קנינהו</w:t>
      </w:r>
      <w:proofErr w:type="spellEnd"/>
      <w:r>
        <w:rPr>
          <w:rFonts w:hint="cs"/>
          <w:rtl/>
        </w:rPr>
        <w:t xml:space="preserve"> לגמרי וממון גמור הם לו אלא שיש עליו חובה להחזירו ובית דין </w:t>
      </w:r>
      <w:proofErr w:type="spellStart"/>
      <w:r>
        <w:rPr>
          <w:rFonts w:hint="cs"/>
          <w:rtl/>
        </w:rPr>
        <w:t>מוציאין</w:t>
      </w:r>
      <w:proofErr w:type="spellEnd"/>
      <w:r>
        <w:rPr>
          <w:rFonts w:hint="cs"/>
          <w:rtl/>
        </w:rPr>
        <w:t xml:space="preserve"> ממנו, ואם מת אין בניו חייבין להחזיר אלא בדבר </w:t>
      </w:r>
      <w:proofErr w:type="spellStart"/>
      <w:r>
        <w:rPr>
          <w:rFonts w:hint="cs"/>
          <w:rtl/>
        </w:rPr>
        <w:t>מסויים</w:t>
      </w:r>
      <w:proofErr w:type="spellEnd"/>
      <w:r>
        <w:rPr>
          <w:rFonts w:hint="cs"/>
          <w:rtl/>
        </w:rPr>
        <w:t xml:space="preserve"> מפני כבוד אביהם, ולא עוד אלא </w:t>
      </w:r>
      <w:proofErr w:type="spellStart"/>
      <w:r>
        <w:rPr>
          <w:rFonts w:hint="cs"/>
          <w:rtl/>
        </w:rPr>
        <w:t>דאפילו</w:t>
      </w:r>
      <w:proofErr w:type="spellEnd"/>
      <w:r>
        <w:rPr>
          <w:rFonts w:hint="cs"/>
          <w:rtl/>
        </w:rPr>
        <w:t xml:space="preserve"> בחזרה לא מיתקן </w:t>
      </w:r>
      <w:proofErr w:type="spellStart"/>
      <w:r>
        <w:rPr>
          <w:rFonts w:hint="cs"/>
          <w:rtl/>
        </w:rPr>
        <w:t>לאויה</w:t>
      </w:r>
      <w:proofErr w:type="spellEnd"/>
      <w:r>
        <w:rPr>
          <w:rFonts w:hint="cs"/>
          <w:rtl/>
        </w:rPr>
        <w:t xml:space="preserve"> </w:t>
      </w:r>
      <w:proofErr w:type="spellStart"/>
      <w:r>
        <w:rPr>
          <w:rFonts w:hint="cs"/>
          <w:rtl/>
        </w:rPr>
        <w:t>כדמתקן</w:t>
      </w:r>
      <w:proofErr w:type="spellEnd"/>
      <w:r>
        <w:rPr>
          <w:rFonts w:hint="cs"/>
          <w:rtl/>
        </w:rPr>
        <w:t xml:space="preserve"> לאו </w:t>
      </w:r>
      <w:proofErr w:type="spellStart"/>
      <w:r>
        <w:rPr>
          <w:rFonts w:hint="cs"/>
          <w:rtl/>
        </w:rPr>
        <w:t>דגזל</w:t>
      </w:r>
      <w:proofErr w:type="spellEnd"/>
      <w:r>
        <w:rPr>
          <w:rFonts w:hint="cs"/>
          <w:rtl/>
        </w:rPr>
        <w:t xml:space="preserve"> </w:t>
      </w:r>
      <w:proofErr w:type="spellStart"/>
      <w:r>
        <w:rPr>
          <w:rFonts w:hint="cs"/>
          <w:rtl/>
        </w:rPr>
        <w:t>בהשבון</w:t>
      </w:r>
      <w:proofErr w:type="spellEnd"/>
      <w:r>
        <w:rPr>
          <w:rFonts w:hint="cs"/>
          <w:rtl/>
        </w:rPr>
        <w:t xml:space="preserve"> </w:t>
      </w:r>
      <w:proofErr w:type="spellStart"/>
      <w:r>
        <w:rPr>
          <w:rFonts w:hint="cs"/>
          <w:rtl/>
        </w:rPr>
        <w:t>וכדפרישית</w:t>
      </w:r>
      <w:proofErr w:type="spellEnd"/>
      <w:r>
        <w:rPr>
          <w:rFonts w:hint="cs"/>
          <w:rtl/>
        </w:rPr>
        <w:t xml:space="preserve"> בפרק איזהו נשך (</w:t>
      </w:r>
      <w:proofErr w:type="spellStart"/>
      <w:r>
        <w:rPr>
          <w:rFonts w:hint="cs"/>
          <w:rtl/>
        </w:rPr>
        <w:t>ב"מ</w:t>
      </w:r>
      <w:proofErr w:type="spellEnd"/>
      <w:r>
        <w:rPr>
          <w:rFonts w:hint="cs"/>
          <w:rtl/>
        </w:rPr>
        <w:t xml:space="preserve"> ס"א ב') פירוש מרווח.</w:t>
      </w:r>
    </w:p>
    <w:p w14:paraId="4CCA1930" w14:textId="77777777" w:rsidR="00055916" w:rsidRDefault="00055916" w:rsidP="00055916">
      <w:pPr>
        <w:pStyle w:val="Heading2"/>
        <w:rPr>
          <w:rtl/>
        </w:rPr>
      </w:pPr>
      <w:proofErr w:type="spellStart"/>
      <w:r>
        <w:rPr>
          <w:rFonts w:hint="cs"/>
          <w:rtl/>
        </w:rPr>
        <w:t>ריטב"א</w:t>
      </w:r>
      <w:proofErr w:type="spellEnd"/>
      <w:r>
        <w:rPr>
          <w:rFonts w:hint="cs"/>
          <w:rtl/>
        </w:rPr>
        <w:t xml:space="preserve"> בבא מציעא </w:t>
      </w:r>
      <w:proofErr w:type="spellStart"/>
      <w:r>
        <w:rPr>
          <w:rFonts w:hint="cs"/>
          <w:rtl/>
        </w:rPr>
        <w:t>סא</w:t>
      </w:r>
      <w:proofErr w:type="spellEnd"/>
      <w:r>
        <w:rPr>
          <w:rFonts w:hint="cs"/>
          <w:rtl/>
        </w:rPr>
        <w:t xml:space="preserve">: ד"ה ור' יוחנן אמר אפילו </w:t>
      </w:r>
      <w:proofErr w:type="spellStart"/>
      <w:r>
        <w:rPr>
          <w:rFonts w:hint="cs"/>
          <w:rtl/>
        </w:rPr>
        <w:t>רבית</w:t>
      </w:r>
      <w:proofErr w:type="spellEnd"/>
      <w:r>
        <w:rPr>
          <w:rFonts w:hint="cs"/>
          <w:rtl/>
        </w:rPr>
        <w:t xml:space="preserve"> קצוצה אינה יוצאה </w:t>
      </w:r>
      <w:proofErr w:type="spellStart"/>
      <w:r>
        <w:rPr>
          <w:rFonts w:hint="cs"/>
          <w:rtl/>
        </w:rPr>
        <w:t>בדיינין</w:t>
      </w:r>
      <w:proofErr w:type="spellEnd"/>
    </w:p>
    <w:p w14:paraId="00351B30" w14:textId="77777777" w:rsidR="00055916" w:rsidRDefault="00055916" w:rsidP="00055916">
      <w:pPr>
        <w:rPr>
          <w:rtl/>
        </w:rPr>
      </w:pPr>
      <w:r>
        <w:rPr>
          <w:rFonts w:hint="cs"/>
          <w:rtl/>
        </w:rPr>
        <w:t xml:space="preserve">יש אומרים </w:t>
      </w:r>
      <w:proofErr w:type="spellStart"/>
      <w:r>
        <w:rPr>
          <w:rFonts w:hint="cs"/>
          <w:rtl/>
        </w:rPr>
        <w:t>דדוקא</w:t>
      </w:r>
      <w:proofErr w:type="spellEnd"/>
      <w:r>
        <w:rPr>
          <w:rFonts w:hint="cs"/>
          <w:rtl/>
        </w:rPr>
        <w:t xml:space="preserve"> </w:t>
      </w:r>
      <w:proofErr w:type="spellStart"/>
      <w:r>
        <w:rPr>
          <w:rFonts w:hint="cs"/>
          <w:rtl/>
        </w:rPr>
        <w:t>בדיינין</w:t>
      </w:r>
      <w:proofErr w:type="spellEnd"/>
      <w:r>
        <w:rPr>
          <w:rFonts w:hint="cs"/>
          <w:rtl/>
        </w:rPr>
        <w:t xml:space="preserve"> אבל בידי שמים חייב להחזיר, והא </w:t>
      </w:r>
      <w:proofErr w:type="spellStart"/>
      <w:r>
        <w:rPr>
          <w:rFonts w:hint="cs"/>
          <w:rtl/>
        </w:rPr>
        <w:t>דאמרינן</w:t>
      </w:r>
      <w:proofErr w:type="spellEnd"/>
      <w:r>
        <w:rPr>
          <w:rFonts w:hint="cs"/>
          <w:rtl/>
        </w:rPr>
        <w:t xml:space="preserve"> למורא ניתן ולא </w:t>
      </w:r>
      <w:proofErr w:type="spellStart"/>
      <w:r>
        <w:rPr>
          <w:rFonts w:hint="cs"/>
          <w:rtl/>
        </w:rPr>
        <w:t>להשבון</w:t>
      </w:r>
      <w:proofErr w:type="spellEnd"/>
      <w:r>
        <w:rPr>
          <w:rFonts w:hint="cs"/>
          <w:rtl/>
        </w:rPr>
        <w:t xml:space="preserve"> היינו </w:t>
      </w:r>
      <w:proofErr w:type="spellStart"/>
      <w:r>
        <w:rPr>
          <w:rFonts w:hint="cs"/>
          <w:rtl/>
        </w:rPr>
        <w:t>השבון</w:t>
      </w:r>
      <w:proofErr w:type="spellEnd"/>
      <w:r>
        <w:rPr>
          <w:rFonts w:hint="cs"/>
          <w:rtl/>
        </w:rPr>
        <w:t xml:space="preserve"> </w:t>
      </w:r>
      <w:proofErr w:type="spellStart"/>
      <w:r>
        <w:rPr>
          <w:rFonts w:hint="cs"/>
          <w:rtl/>
        </w:rPr>
        <w:t>בב"ד</w:t>
      </w:r>
      <w:proofErr w:type="spellEnd"/>
      <w:r>
        <w:rPr>
          <w:rFonts w:hint="cs"/>
          <w:rtl/>
        </w:rPr>
        <w:t xml:space="preserve">, והא </w:t>
      </w:r>
      <w:proofErr w:type="spellStart"/>
      <w:r>
        <w:rPr>
          <w:rFonts w:hint="cs"/>
          <w:rtl/>
        </w:rPr>
        <w:t>דאקשינן</w:t>
      </w:r>
      <w:proofErr w:type="spellEnd"/>
      <w:r>
        <w:rPr>
          <w:rFonts w:hint="cs"/>
          <w:rtl/>
        </w:rPr>
        <w:t xml:space="preserve"> לקמן ממתני' </w:t>
      </w:r>
      <w:proofErr w:type="spellStart"/>
      <w:r>
        <w:rPr>
          <w:rFonts w:hint="cs"/>
          <w:rtl/>
        </w:rPr>
        <w:t>לר</w:t>
      </w:r>
      <w:proofErr w:type="spellEnd"/>
      <w:r>
        <w:rPr>
          <w:rFonts w:hint="cs"/>
          <w:rtl/>
        </w:rPr>
        <w:t xml:space="preserve">' יוחנן משום </w:t>
      </w:r>
      <w:proofErr w:type="spellStart"/>
      <w:r>
        <w:rPr>
          <w:rFonts w:hint="cs"/>
          <w:rtl/>
        </w:rPr>
        <w:t>דלישנא</w:t>
      </w:r>
      <w:proofErr w:type="spellEnd"/>
      <w:r>
        <w:rPr>
          <w:rFonts w:hint="cs"/>
          <w:rtl/>
        </w:rPr>
        <w:t xml:space="preserve"> </w:t>
      </w:r>
      <w:proofErr w:type="spellStart"/>
      <w:r>
        <w:rPr>
          <w:rFonts w:hint="cs"/>
          <w:rtl/>
        </w:rPr>
        <w:t>דקתני</w:t>
      </w:r>
      <w:proofErr w:type="spellEnd"/>
      <w:r>
        <w:rPr>
          <w:rFonts w:hint="cs"/>
          <w:rtl/>
        </w:rPr>
        <w:t xml:space="preserve"> </w:t>
      </w:r>
      <w:proofErr w:type="spellStart"/>
      <w:r>
        <w:rPr>
          <w:rFonts w:hint="cs"/>
          <w:rtl/>
        </w:rPr>
        <w:t>מחזירין</w:t>
      </w:r>
      <w:proofErr w:type="spellEnd"/>
      <w:r>
        <w:rPr>
          <w:rFonts w:hint="cs"/>
          <w:rtl/>
        </w:rPr>
        <w:t xml:space="preserve"> או חייבין להחזיר </w:t>
      </w:r>
      <w:proofErr w:type="spellStart"/>
      <w:r>
        <w:rPr>
          <w:rFonts w:hint="cs"/>
          <w:rtl/>
        </w:rPr>
        <w:t>בב"ד</w:t>
      </w:r>
      <w:proofErr w:type="spellEnd"/>
      <w:r>
        <w:rPr>
          <w:rFonts w:hint="cs"/>
          <w:rtl/>
        </w:rPr>
        <w:t xml:space="preserve"> משמע </w:t>
      </w:r>
      <w:proofErr w:type="spellStart"/>
      <w:r>
        <w:rPr>
          <w:rFonts w:hint="cs"/>
          <w:rtl/>
        </w:rPr>
        <w:t>דומיא</w:t>
      </w:r>
      <w:proofErr w:type="spellEnd"/>
      <w:r>
        <w:rPr>
          <w:rFonts w:hint="cs"/>
          <w:rtl/>
        </w:rPr>
        <w:t xml:space="preserve"> </w:t>
      </w:r>
      <w:proofErr w:type="spellStart"/>
      <w:r>
        <w:rPr>
          <w:rFonts w:hint="cs"/>
          <w:rtl/>
        </w:rPr>
        <w:t>דגזלנים</w:t>
      </w:r>
      <w:proofErr w:type="spellEnd"/>
      <w:r>
        <w:rPr>
          <w:rFonts w:hint="cs"/>
          <w:rtl/>
        </w:rPr>
        <w:t xml:space="preserve"> </w:t>
      </w:r>
      <w:proofErr w:type="spellStart"/>
      <w:r>
        <w:rPr>
          <w:rFonts w:hint="cs"/>
          <w:rtl/>
        </w:rPr>
        <w:t>דקתני</w:t>
      </w:r>
      <w:proofErr w:type="spellEnd"/>
      <w:r>
        <w:rPr>
          <w:rFonts w:hint="cs"/>
          <w:rtl/>
        </w:rPr>
        <w:t xml:space="preserve">, והיינו </w:t>
      </w:r>
      <w:proofErr w:type="spellStart"/>
      <w:r>
        <w:rPr>
          <w:rFonts w:hint="cs"/>
          <w:rtl/>
        </w:rPr>
        <w:t>דגרסינן</w:t>
      </w:r>
      <w:proofErr w:type="spellEnd"/>
      <w:r>
        <w:rPr>
          <w:rFonts w:hint="cs"/>
          <w:rtl/>
        </w:rPr>
        <w:t xml:space="preserve"> </w:t>
      </w:r>
      <w:proofErr w:type="spellStart"/>
      <w:r>
        <w:rPr>
          <w:rFonts w:hint="cs"/>
          <w:rtl/>
        </w:rPr>
        <w:t>בתוספתא</w:t>
      </w:r>
      <w:proofErr w:type="spellEnd"/>
      <w:r>
        <w:rPr>
          <w:rFonts w:hint="cs"/>
          <w:rtl/>
        </w:rPr>
        <w:t xml:space="preserve"> </w:t>
      </w:r>
      <w:proofErr w:type="spellStart"/>
      <w:r>
        <w:rPr>
          <w:rFonts w:hint="cs"/>
          <w:rtl/>
        </w:rPr>
        <w:t>המלוה</w:t>
      </w:r>
      <w:proofErr w:type="spellEnd"/>
      <w:r>
        <w:rPr>
          <w:rFonts w:hint="cs"/>
          <w:rtl/>
        </w:rPr>
        <w:t xml:space="preserve"> את חברו </w:t>
      </w:r>
      <w:proofErr w:type="spellStart"/>
      <w:r>
        <w:rPr>
          <w:rFonts w:hint="cs"/>
          <w:rtl/>
        </w:rPr>
        <w:t>ברבית</w:t>
      </w:r>
      <w:proofErr w:type="spellEnd"/>
      <w:r>
        <w:rPr>
          <w:rFonts w:hint="cs"/>
          <w:rtl/>
        </w:rPr>
        <w:t xml:space="preserve"> ועשה תשובה חייב להחזיר והא אפילו </w:t>
      </w:r>
      <w:proofErr w:type="spellStart"/>
      <w:r>
        <w:rPr>
          <w:rFonts w:hint="cs"/>
          <w:rtl/>
        </w:rPr>
        <w:t>לר</w:t>
      </w:r>
      <w:proofErr w:type="spellEnd"/>
      <w:r>
        <w:rPr>
          <w:rFonts w:hint="cs"/>
          <w:rtl/>
        </w:rPr>
        <w:t xml:space="preserve">' יוחנן הוא </w:t>
      </w:r>
      <w:proofErr w:type="spellStart"/>
      <w:r>
        <w:rPr>
          <w:rFonts w:hint="cs"/>
          <w:rtl/>
        </w:rPr>
        <w:t>מדלא</w:t>
      </w:r>
      <w:proofErr w:type="spellEnd"/>
      <w:r>
        <w:rPr>
          <w:rFonts w:hint="cs"/>
          <w:rtl/>
        </w:rPr>
        <w:t xml:space="preserve"> </w:t>
      </w:r>
      <w:proofErr w:type="spellStart"/>
      <w:r>
        <w:rPr>
          <w:rFonts w:hint="cs"/>
          <w:rtl/>
        </w:rPr>
        <w:t>מותבינן</w:t>
      </w:r>
      <w:proofErr w:type="spellEnd"/>
      <w:r>
        <w:rPr>
          <w:rFonts w:hint="cs"/>
          <w:rtl/>
        </w:rPr>
        <w:t xml:space="preserve"> ליה מינה </w:t>
      </w:r>
      <w:proofErr w:type="spellStart"/>
      <w:r>
        <w:rPr>
          <w:rFonts w:hint="cs"/>
          <w:rtl/>
        </w:rPr>
        <w:t>בשמעתין</w:t>
      </w:r>
      <w:proofErr w:type="spellEnd"/>
      <w:r>
        <w:rPr>
          <w:rFonts w:hint="cs"/>
          <w:rtl/>
        </w:rPr>
        <w:t xml:space="preserve">, ואין זה נכון </w:t>
      </w:r>
      <w:proofErr w:type="spellStart"/>
      <w:r>
        <w:rPr>
          <w:rFonts w:hint="cs"/>
          <w:rtl/>
        </w:rPr>
        <w:t>דא"כ</w:t>
      </w:r>
      <w:proofErr w:type="spellEnd"/>
      <w:r>
        <w:rPr>
          <w:rFonts w:hint="cs"/>
          <w:rtl/>
        </w:rPr>
        <w:t xml:space="preserve"> כי </w:t>
      </w:r>
      <w:proofErr w:type="spellStart"/>
      <w:r>
        <w:rPr>
          <w:rFonts w:hint="cs"/>
          <w:rtl/>
        </w:rPr>
        <w:t>אקשינן</w:t>
      </w:r>
      <w:proofErr w:type="spellEnd"/>
      <w:r>
        <w:rPr>
          <w:rFonts w:hint="cs"/>
          <w:rtl/>
        </w:rPr>
        <w:t xml:space="preserve"> </w:t>
      </w:r>
      <w:proofErr w:type="spellStart"/>
      <w:r>
        <w:rPr>
          <w:rFonts w:hint="cs"/>
          <w:rtl/>
        </w:rPr>
        <w:t>לר</w:t>
      </w:r>
      <w:proofErr w:type="spellEnd"/>
      <w:r>
        <w:rPr>
          <w:rFonts w:hint="cs"/>
          <w:rtl/>
        </w:rPr>
        <w:t xml:space="preserve">' יוחנן האי וחי אחיך עמך מאי עביד ליה מאי קושיא </w:t>
      </w:r>
      <w:proofErr w:type="spellStart"/>
      <w:r>
        <w:rPr>
          <w:rFonts w:hint="cs"/>
          <w:rtl/>
        </w:rPr>
        <w:t>לוקמה</w:t>
      </w:r>
      <w:proofErr w:type="spellEnd"/>
      <w:r>
        <w:rPr>
          <w:rFonts w:hint="cs"/>
          <w:rtl/>
        </w:rPr>
        <w:t xml:space="preserve"> בבא לצאת ידי שמים, ועוד </w:t>
      </w:r>
      <w:proofErr w:type="spellStart"/>
      <w:r>
        <w:rPr>
          <w:rFonts w:hint="cs"/>
          <w:rtl/>
        </w:rPr>
        <w:t>אמאי</w:t>
      </w:r>
      <w:proofErr w:type="spellEnd"/>
      <w:r>
        <w:rPr>
          <w:rFonts w:hint="cs"/>
          <w:rtl/>
        </w:rPr>
        <w:t xml:space="preserve"> </w:t>
      </w:r>
      <w:proofErr w:type="spellStart"/>
      <w:r>
        <w:rPr>
          <w:rFonts w:hint="cs"/>
          <w:rtl/>
        </w:rPr>
        <w:t>אמרינן</w:t>
      </w:r>
      <w:proofErr w:type="spellEnd"/>
      <w:r>
        <w:rPr>
          <w:rFonts w:hint="cs"/>
          <w:rtl/>
        </w:rPr>
        <w:t xml:space="preserve"> לקמן </w:t>
      </w:r>
      <w:proofErr w:type="spellStart"/>
      <w:r>
        <w:rPr>
          <w:rFonts w:hint="cs"/>
          <w:rtl/>
        </w:rPr>
        <w:t>דלת"ק</w:t>
      </w:r>
      <w:proofErr w:type="spellEnd"/>
      <w:r>
        <w:rPr>
          <w:rFonts w:hint="cs"/>
          <w:rtl/>
        </w:rPr>
        <w:t xml:space="preserve"> דר' נחמיה מחייב את </w:t>
      </w:r>
      <w:proofErr w:type="spellStart"/>
      <w:r>
        <w:rPr>
          <w:rFonts w:hint="cs"/>
          <w:rtl/>
        </w:rPr>
        <w:t>המלוה</w:t>
      </w:r>
      <w:proofErr w:type="spellEnd"/>
      <w:r>
        <w:rPr>
          <w:rFonts w:hint="cs"/>
          <w:rtl/>
        </w:rPr>
        <w:t xml:space="preserve"> מפני שאינו חייב להחזיר כר' יוחנן ולית ביה קום עשה, והא איכא קום עשה שחייב להחזיר בדיני שמים, אלא ודאי </w:t>
      </w:r>
      <w:proofErr w:type="spellStart"/>
      <w:r>
        <w:rPr>
          <w:rFonts w:hint="cs"/>
          <w:rtl/>
        </w:rPr>
        <w:t>לר</w:t>
      </w:r>
      <w:proofErr w:type="spellEnd"/>
      <w:r>
        <w:rPr>
          <w:rFonts w:hint="cs"/>
          <w:rtl/>
        </w:rPr>
        <w:t xml:space="preserve">' יוחנן אפילו בדיני שמים אינו חייב להחזיר, והא דלא </w:t>
      </w:r>
      <w:proofErr w:type="spellStart"/>
      <w:r>
        <w:rPr>
          <w:rFonts w:hint="cs"/>
          <w:rtl/>
        </w:rPr>
        <w:t>מותבינן</w:t>
      </w:r>
      <w:proofErr w:type="spellEnd"/>
      <w:r>
        <w:rPr>
          <w:rFonts w:hint="cs"/>
          <w:rtl/>
        </w:rPr>
        <w:t xml:space="preserve"> ליה מן </w:t>
      </w:r>
      <w:proofErr w:type="spellStart"/>
      <w:r>
        <w:rPr>
          <w:rFonts w:hint="cs"/>
          <w:rtl/>
        </w:rPr>
        <w:t>התוספתא</w:t>
      </w:r>
      <w:proofErr w:type="spellEnd"/>
      <w:r>
        <w:rPr>
          <w:rFonts w:hint="cs"/>
          <w:rtl/>
        </w:rPr>
        <w:t xml:space="preserve"> או משום דלא </w:t>
      </w:r>
      <w:proofErr w:type="spellStart"/>
      <w:r>
        <w:rPr>
          <w:rFonts w:hint="cs"/>
          <w:rtl/>
        </w:rPr>
        <w:t>מיתניא</w:t>
      </w:r>
      <w:proofErr w:type="spellEnd"/>
      <w:r>
        <w:rPr>
          <w:rFonts w:hint="cs"/>
          <w:rtl/>
        </w:rPr>
        <w:t xml:space="preserve"> בי רבי </w:t>
      </w:r>
      <w:proofErr w:type="spellStart"/>
      <w:r>
        <w:rPr>
          <w:rFonts w:hint="cs"/>
          <w:rtl/>
        </w:rPr>
        <w:t>חייא</w:t>
      </w:r>
      <w:proofErr w:type="spellEnd"/>
      <w:r>
        <w:rPr>
          <w:rFonts w:hint="cs"/>
          <w:rtl/>
        </w:rPr>
        <w:t xml:space="preserve"> ור' </w:t>
      </w:r>
      <w:proofErr w:type="spellStart"/>
      <w:r>
        <w:rPr>
          <w:rFonts w:hint="cs"/>
          <w:rtl/>
        </w:rPr>
        <w:t>אושעיא</w:t>
      </w:r>
      <w:proofErr w:type="spellEnd"/>
      <w:r>
        <w:rPr>
          <w:rFonts w:hint="cs"/>
          <w:rtl/>
        </w:rPr>
        <w:t xml:space="preserve"> או משום </w:t>
      </w:r>
      <w:proofErr w:type="spellStart"/>
      <w:r>
        <w:rPr>
          <w:rFonts w:hint="cs"/>
          <w:rtl/>
        </w:rPr>
        <w:t>דמוקמינן</w:t>
      </w:r>
      <w:proofErr w:type="spellEnd"/>
      <w:r>
        <w:rPr>
          <w:rFonts w:hint="cs"/>
          <w:rtl/>
        </w:rPr>
        <w:t xml:space="preserve"> לה כר' נחמיה </w:t>
      </w:r>
      <w:proofErr w:type="spellStart"/>
      <w:r>
        <w:rPr>
          <w:rFonts w:hint="cs"/>
          <w:rtl/>
        </w:rPr>
        <w:t>וכדאוקימנא</w:t>
      </w:r>
      <w:proofErr w:type="spellEnd"/>
      <w:r>
        <w:rPr>
          <w:rFonts w:hint="cs"/>
          <w:rtl/>
        </w:rPr>
        <w:t xml:space="preserve"> ברייתא </w:t>
      </w:r>
      <w:proofErr w:type="spellStart"/>
      <w:r>
        <w:rPr>
          <w:rFonts w:hint="cs"/>
          <w:rtl/>
        </w:rPr>
        <w:t>דהגזלנין</w:t>
      </w:r>
      <w:proofErr w:type="spellEnd"/>
      <w:r>
        <w:rPr>
          <w:rFonts w:hint="cs"/>
          <w:rtl/>
        </w:rPr>
        <w:t xml:space="preserve">, והא </w:t>
      </w:r>
      <w:proofErr w:type="spellStart"/>
      <w:r>
        <w:rPr>
          <w:rFonts w:hint="cs"/>
          <w:rtl/>
        </w:rPr>
        <w:t>דאמרינן</w:t>
      </w:r>
      <w:proofErr w:type="spellEnd"/>
      <w:r>
        <w:rPr>
          <w:rFonts w:hint="cs"/>
          <w:rtl/>
        </w:rPr>
        <w:t xml:space="preserve"> לקמן אי </w:t>
      </w:r>
      <w:proofErr w:type="spellStart"/>
      <w:r>
        <w:rPr>
          <w:rFonts w:hint="cs"/>
          <w:rtl/>
        </w:rPr>
        <w:t>בשעשה</w:t>
      </w:r>
      <w:proofErr w:type="spellEnd"/>
      <w:r>
        <w:rPr>
          <w:rFonts w:hint="cs"/>
          <w:rtl/>
        </w:rPr>
        <w:t xml:space="preserve"> תשובה מאי בעי גביה היינו משום </w:t>
      </w:r>
      <w:proofErr w:type="spellStart"/>
      <w:r>
        <w:rPr>
          <w:rFonts w:hint="cs"/>
          <w:rtl/>
        </w:rPr>
        <w:t>דכיון</w:t>
      </w:r>
      <w:proofErr w:type="spellEnd"/>
      <w:r>
        <w:rPr>
          <w:rFonts w:hint="cs"/>
          <w:rtl/>
        </w:rPr>
        <w:t xml:space="preserve"> </w:t>
      </w:r>
      <w:proofErr w:type="spellStart"/>
      <w:r>
        <w:rPr>
          <w:rFonts w:hint="cs"/>
          <w:rtl/>
        </w:rPr>
        <w:t>דדבר</w:t>
      </w:r>
      <w:proofErr w:type="spellEnd"/>
      <w:r>
        <w:rPr>
          <w:rFonts w:hint="cs"/>
          <w:rtl/>
        </w:rPr>
        <w:t xml:space="preserve"> </w:t>
      </w:r>
      <w:proofErr w:type="spellStart"/>
      <w:r>
        <w:rPr>
          <w:rFonts w:hint="cs"/>
          <w:rtl/>
        </w:rPr>
        <w:t>המסויים</w:t>
      </w:r>
      <w:proofErr w:type="spellEnd"/>
      <w:r>
        <w:rPr>
          <w:rFonts w:hint="cs"/>
          <w:rtl/>
        </w:rPr>
        <w:t xml:space="preserve"> הוא חייב להחזיר משום לזות שפתים, דאי הוא לא </w:t>
      </w:r>
      <w:proofErr w:type="spellStart"/>
      <w:r>
        <w:rPr>
          <w:rFonts w:hint="cs"/>
          <w:rtl/>
        </w:rPr>
        <w:t>חייש</w:t>
      </w:r>
      <w:proofErr w:type="spellEnd"/>
      <w:r>
        <w:rPr>
          <w:rFonts w:hint="cs"/>
          <w:rtl/>
        </w:rPr>
        <w:t xml:space="preserve"> לכבוד עצמו למה יהיו בניו חייבים להחזיר מפני כבודו.</w:t>
      </w:r>
    </w:p>
    <w:p w14:paraId="10609E43" w14:textId="77777777" w:rsidR="00055916" w:rsidRDefault="00055916" w:rsidP="00055916">
      <w:pPr>
        <w:rPr>
          <w:rtl/>
        </w:rPr>
      </w:pPr>
      <w:r>
        <w:rPr>
          <w:rFonts w:hint="cs"/>
          <w:rtl/>
        </w:rPr>
        <w:t xml:space="preserve">  ומיהו לית הלכתא כר' יוחנן אלא </w:t>
      </w:r>
      <w:proofErr w:type="spellStart"/>
      <w:r>
        <w:rPr>
          <w:rFonts w:hint="cs"/>
          <w:rtl/>
        </w:rPr>
        <w:t>סוגיין</w:t>
      </w:r>
      <w:proofErr w:type="spellEnd"/>
      <w:r>
        <w:rPr>
          <w:rFonts w:hint="cs"/>
          <w:rtl/>
        </w:rPr>
        <w:t xml:space="preserve"> </w:t>
      </w:r>
      <w:proofErr w:type="spellStart"/>
      <w:r>
        <w:rPr>
          <w:rFonts w:hint="cs"/>
          <w:rtl/>
        </w:rPr>
        <w:t>בכוליה</w:t>
      </w:r>
      <w:proofErr w:type="spellEnd"/>
      <w:r>
        <w:rPr>
          <w:rFonts w:hint="cs"/>
          <w:rtl/>
        </w:rPr>
        <w:t xml:space="preserve"> פרקין כר' אלעזר </w:t>
      </w:r>
      <w:proofErr w:type="spellStart"/>
      <w:r>
        <w:rPr>
          <w:rFonts w:hint="cs"/>
          <w:rtl/>
        </w:rPr>
        <w:t>דקאמר</w:t>
      </w:r>
      <w:proofErr w:type="spellEnd"/>
      <w:r>
        <w:rPr>
          <w:rFonts w:hint="cs"/>
          <w:rtl/>
        </w:rPr>
        <w:t xml:space="preserve"> </w:t>
      </w:r>
      <w:proofErr w:type="spellStart"/>
      <w:r>
        <w:rPr>
          <w:rFonts w:hint="cs"/>
          <w:rtl/>
        </w:rPr>
        <w:t>רבית</w:t>
      </w:r>
      <w:proofErr w:type="spellEnd"/>
      <w:r>
        <w:rPr>
          <w:rFonts w:hint="cs"/>
          <w:rtl/>
        </w:rPr>
        <w:t xml:space="preserve"> קצוצה יוצאה </w:t>
      </w:r>
      <w:proofErr w:type="spellStart"/>
      <w:r>
        <w:rPr>
          <w:rFonts w:hint="cs"/>
          <w:rtl/>
        </w:rPr>
        <w:t>בדיינין</w:t>
      </w:r>
      <w:proofErr w:type="spellEnd"/>
      <w:r>
        <w:rPr>
          <w:rFonts w:hint="cs"/>
          <w:rtl/>
        </w:rPr>
        <w:t xml:space="preserve">, אבק </w:t>
      </w:r>
      <w:proofErr w:type="spellStart"/>
      <w:r>
        <w:rPr>
          <w:rFonts w:hint="cs"/>
          <w:rtl/>
        </w:rPr>
        <w:t>רבית</w:t>
      </w:r>
      <w:proofErr w:type="spellEnd"/>
      <w:r>
        <w:rPr>
          <w:rFonts w:hint="cs"/>
          <w:rtl/>
        </w:rPr>
        <w:t xml:space="preserve"> דרבנן אינו יוצא </w:t>
      </w:r>
      <w:proofErr w:type="spellStart"/>
      <w:r>
        <w:rPr>
          <w:rFonts w:hint="cs"/>
          <w:rtl/>
        </w:rPr>
        <w:t>בדיינין</w:t>
      </w:r>
      <w:proofErr w:type="spellEnd"/>
      <w:r>
        <w:rPr>
          <w:rFonts w:hint="cs"/>
          <w:rtl/>
        </w:rPr>
        <w:t xml:space="preserve">, </w:t>
      </w:r>
      <w:proofErr w:type="spellStart"/>
      <w:r>
        <w:rPr>
          <w:rFonts w:hint="cs"/>
          <w:rtl/>
        </w:rPr>
        <w:t>וכדאיפסיקא</w:t>
      </w:r>
      <w:proofErr w:type="spellEnd"/>
      <w:r>
        <w:rPr>
          <w:rFonts w:hint="cs"/>
          <w:rtl/>
        </w:rPr>
        <w:t xml:space="preserve"> הלכה כוותיה </w:t>
      </w:r>
      <w:proofErr w:type="spellStart"/>
      <w:r>
        <w:rPr>
          <w:rFonts w:hint="cs"/>
          <w:rtl/>
        </w:rPr>
        <w:t>בהדיא</w:t>
      </w:r>
      <w:proofErr w:type="spellEnd"/>
      <w:r>
        <w:rPr>
          <w:rFonts w:hint="cs"/>
          <w:rtl/>
        </w:rPr>
        <w:t xml:space="preserve"> לקמן </w:t>
      </w:r>
      <w:proofErr w:type="spellStart"/>
      <w:r>
        <w:rPr>
          <w:rFonts w:hint="cs"/>
          <w:rtl/>
        </w:rPr>
        <w:t>בפרקין</w:t>
      </w:r>
      <w:proofErr w:type="spellEnd"/>
      <w:r>
        <w:rPr>
          <w:rFonts w:hint="cs"/>
          <w:rtl/>
        </w:rPr>
        <w:t xml:space="preserve"> (ס"ה ב'), </w:t>
      </w:r>
      <w:proofErr w:type="spellStart"/>
      <w:r>
        <w:rPr>
          <w:rFonts w:hint="cs"/>
          <w:rtl/>
        </w:rPr>
        <w:t>ודוקא</w:t>
      </w:r>
      <w:proofErr w:type="spellEnd"/>
      <w:r>
        <w:rPr>
          <w:rFonts w:hint="cs"/>
          <w:rtl/>
        </w:rPr>
        <w:t xml:space="preserve"> שאינו חוזר לאחר שפרעו, אבל אם לא </w:t>
      </w:r>
      <w:proofErr w:type="spellStart"/>
      <w:r>
        <w:rPr>
          <w:rFonts w:hint="cs"/>
          <w:rtl/>
        </w:rPr>
        <w:t>גבאו</w:t>
      </w:r>
      <w:proofErr w:type="spellEnd"/>
      <w:r>
        <w:rPr>
          <w:rFonts w:hint="cs"/>
          <w:rtl/>
        </w:rPr>
        <w:t xml:space="preserve"> לא </w:t>
      </w:r>
      <w:proofErr w:type="spellStart"/>
      <w:r>
        <w:rPr>
          <w:rFonts w:hint="cs"/>
          <w:rtl/>
        </w:rPr>
        <w:t>יפרענו</w:t>
      </w:r>
      <w:proofErr w:type="spellEnd"/>
      <w:r>
        <w:rPr>
          <w:rFonts w:hint="cs"/>
          <w:rtl/>
        </w:rPr>
        <w:t xml:space="preserve"> כלל, ומנכה אותו מאותו חוב עצמו, אבל אינו מנכה מחוב אחר </w:t>
      </w:r>
      <w:proofErr w:type="spellStart"/>
      <w:r>
        <w:rPr>
          <w:rFonts w:hint="cs"/>
          <w:rtl/>
        </w:rPr>
        <w:t>דכל</w:t>
      </w:r>
      <w:proofErr w:type="spellEnd"/>
      <w:r>
        <w:rPr>
          <w:rFonts w:hint="cs"/>
          <w:rtl/>
        </w:rPr>
        <w:t xml:space="preserve"> </w:t>
      </w:r>
      <w:proofErr w:type="spellStart"/>
      <w:r>
        <w:rPr>
          <w:rFonts w:hint="cs"/>
          <w:rtl/>
        </w:rPr>
        <w:t>סלוקי</w:t>
      </w:r>
      <w:proofErr w:type="spellEnd"/>
      <w:r>
        <w:rPr>
          <w:rFonts w:hint="cs"/>
          <w:rtl/>
        </w:rPr>
        <w:t xml:space="preserve"> בלא זוזי </w:t>
      </w:r>
      <w:proofErr w:type="spellStart"/>
      <w:r>
        <w:rPr>
          <w:rFonts w:hint="cs"/>
          <w:rtl/>
        </w:rPr>
        <w:t>אפוקי</w:t>
      </w:r>
      <w:proofErr w:type="spellEnd"/>
      <w:r>
        <w:rPr>
          <w:rFonts w:hint="cs"/>
          <w:rtl/>
        </w:rPr>
        <w:t xml:space="preserve"> מיניה הוא, ואין צריך לומר שאין לו רשות לתפוס בשבילו שום דבר של חברו ואפילו </w:t>
      </w:r>
      <w:proofErr w:type="spellStart"/>
      <w:r>
        <w:rPr>
          <w:rFonts w:hint="cs"/>
          <w:rtl/>
        </w:rPr>
        <w:t>מפקדון</w:t>
      </w:r>
      <w:proofErr w:type="spellEnd"/>
      <w:r>
        <w:rPr>
          <w:rFonts w:hint="cs"/>
          <w:rtl/>
        </w:rPr>
        <w:t xml:space="preserve"> שיש לו אצלו, וכן הסכימו כל המפרשים ז"ל, וכן מוכיח בירושלמי </w:t>
      </w:r>
      <w:proofErr w:type="spellStart"/>
      <w:r>
        <w:rPr>
          <w:rFonts w:hint="cs"/>
          <w:rtl/>
        </w:rPr>
        <w:t>דגרסי</w:t>
      </w:r>
      <w:proofErr w:type="spellEnd"/>
      <w:r>
        <w:rPr>
          <w:rFonts w:hint="cs"/>
          <w:rtl/>
        </w:rPr>
        <w:t xml:space="preserve">' התם מודה ר' יוחנן שאם היה שטר קיים דו מקיז ליה ושאין שטר (קיים) זוקק לחברו ע"כ, ומר' יוחנן </w:t>
      </w:r>
      <w:proofErr w:type="spellStart"/>
      <w:r>
        <w:rPr>
          <w:rFonts w:hint="cs"/>
          <w:rtl/>
        </w:rPr>
        <w:t>ברבית</w:t>
      </w:r>
      <w:proofErr w:type="spellEnd"/>
      <w:r>
        <w:rPr>
          <w:rFonts w:hint="cs"/>
          <w:rtl/>
        </w:rPr>
        <w:t xml:space="preserve"> קצוצה נשמע לדר' אלעזר באבק </w:t>
      </w:r>
      <w:proofErr w:type="spellStart"/>
      <w:r>
        <w:rPr>
          <w:rFonts w:hint="cs"/>
          <w:rtl/>
        </w:rPr>
        <w:t>רבית</w:t>
      </w:r>
      <w:proofErr w:type="spellEnd"/>
      <w:r>
        <w:rPr>
          <w:rFonts w:hint="cs"/>
          <w:rtl/>
        </w:rPr>
        <w:t xml:space="preserve">, ונראה </w:t>
      </w:r>
      <w:proofErr w:type="spellStart"/>
      <w:r>
        <w:rPr>
          <w:rFonts w:hint="cs"/>
          <w:rtl/>
        </w:rPr>
        <w:t>דאבק</w:t>
      </w:r>
      <w:proofErr w:type="spellEnd"/>
      <w:r>
        <w:rPr>
          <w:rFonts w:hint="cs"/>
          <w:rtl/>
        </w:rPr>
        <w:t xml:space="preserve"> ריבית בדבר </w:t>
      </w:r>
      <w:proofErr w:type="spellStart"/>
      <w:r>
        <w:rPr>
          <w:rFonts w:hint="cs"/>
          <w:rtl/>
        </w:rPr>
        <w:t>מסויים</w:t>
      </w:r>
      <w:proofErr w:type="spellEnd"/>
      <w:r>
        <w:rPr>
          <w:rFonts w:hint="cs"/>
          <w:rtl/>
        </w:rPr>
        <w:t xml:space="preserve"> חייב להחזיר בבא לצאת ידי שמים אם עשה תשובה, ושמעינן לה מרבית קצוצה </w:t>
      </w:r>
      <w:proofErr w:type="spellStart"/>
      <w:r>
        <w:rPr>
          <w:rFonts w:hint="cs"/>
          <w:rtl/>
        </w:rPr>
        <w:t>לר</w:t>
      </w:r>
      <w:proofErr w:type="spellEnd"/>
      <w:r>
        <w:rPr>
          <w:rFonts w:hint="cs"/>
          <w:rtl/>
        </w:rPr>
        <w:t xml:space="preserve">' יוחנן שאינה יוצאה </w:t>
      </w:r>
      <w:proofErr w:type="spellStart"/>
      <w:r>
        <w:rPr>
          <w:rFonts w:hint="cs"/>
          <w:rtl/>
        </w:rPr>
        <w:t>בדיינין</w:t>
      </w:r>
      <w:proofErr w:type="spellEnd"/>
      <w:r>
        <w:rPr>
          <w:rFonts w:hint="cs"/>
          <w:rtl/>
        </w:rPr>
        <w:t xml:space="preserve"> ואפילו בידי שמים והוא מודה שחייב הוא ובניו להחזיר בדבר </w:t>
      </w:r>
      <w:proofErr w:type="spellStart"/>
      <w:r>
        <w:rPr>
          <w:rFonts w:hint="cs"/>
          <w:rtl/>
        </w:rPr>
        <w:t>מסויים</w:t>
      </w:r>
      <w:proofErr w:type="spellEnd"/>
      <w:r>
        <w:rPr>
          <w:rFonts w:hint="cs"/>
          <w:rtl/>
        </w:rPr>
        <w:t xml:space="preserve"> </w:t>
      </w:r>
      <w:proofErr w:type="spellStart"/>
      <w:r>
        <w:rPr>
          <w:rFonts w:hint="cs"/>
          <w:rtl/>
        </w:rPr>
        <w:t>בשעשה</w:t>
      </w:r>
      <w:proofErr w:type="spellEnd"/>
      <w:r>
        <w:rPr>
          <w:rFonts w:hint="cs"/>
          <w:rtl/>
        </w:rPr>
        <w:t xml:space="preserve"> תשובה וה"ה לאבק </w:t>
      </w:r>
      <w:proofErr w:type="spellStart"/>
      <w:r>
        <w:rPr>
          <w:rFonts w:hint="cs"/>
          <w:rtl/>
        </w:rPr>
        <w:t>רבית</w:t>
      </w:r>
      <w:proofErr w:type="spellEnd"/>
      <w:r>
        <w:rPr>
          <w:rFonts w:hint="cs"/>
          <w:rtl/>
        </w:rPr>
        <w:t xml:space="preserve"> מדרבנן, ויש לומר </w:t>
      </w:r>
      <w:proofErr w:type="spellStart"/>
      <w:r>
        <w:rPr>
          <w:rFonts w:hint="cs"/>
          <w:rtl/>
        </w:rPr>
        <w:t>דבאבק</w:t>
      </w:r>
      <w:proofErr w:type="spellEnd"/>
      <w:r>
        <w:rPr>
          <w:rFonts w:hint="cs"/>
          <w:rtl/>
        </w:rPr>
        <w:t xml:space="preserve"> </w:t>
      </w:r>
      <w:proofErr w:type="spellStart"/>
      <w:r>
        <w:rPr>
          <w:rFonts w:hint="cs"/>
          <w:rtl/>
        </w:rPr>
        <w:t>רבית</w:t>
      </w:r>
      <w:proofErr w:type="spellEnd"/>
      <w:r>
        <w:rPr>
          <w:rFonts w:hint="cs"/>
          <w:rtl/>
        </w:rPr>
        <w:t xml:space="preserve"> דרבנן לא החמירו כ"כ, והראשון יותר נכון.</w:t>
      </w:r>
    </w:p>
    <w:p w14:paraId="65A42F0E" w14:textId="77777777" w:rsidR="00055916" w:rsidRDefault="00055916" w:rsidP="00055916">
      <w:pPr>
        <w:pStyle w:val="Heading2"/>
        <w:rPr>
          <w:rtl/>
        </w:rPr>
      </w:pPr>
      <w:r>
        <w:rPr>
          <w:rFonts w:hint="cs"/>
          <w:rtl/>
        </w:rPr>
        <w:t xml:space="preserve">ברכת שמואל בבא מציעא סימן מח </w:t>
      </w:r>
      <w:r>
        <w:rPr>
          <w:rFonts w:hint="cs"/>
          <w:sz w:val="22"/>
          <w:szCs w:val="22"/>
          <w:rtl/>
        </w:rPr>
        <w:t>(</w:t>
      </w:r>
      <w:hyperlink r:id="rId6" w:history="1">
        <w:r>
          <w:rPr>
            <w:rStyle w:val="Hyperlink"/>
            <w:rFonts w:eastAsiaTheme="minorHAnsi" w:hint="cs"/>
            <w:sz w:val="22"/>
            <w:szCs w:val="22"/>
            <w:rtl/>
          </w:rPr>
          <w:t>קישור</w:t>
        </w:r>
      </w:hyperlink>
      <w:r>
        <w:rPr>
          <w:rFonts w:hint="cs"/>
          <w:sz w:val="22"/>
          <w:szCs w:val="22"/>
          <w:rtl/>
        </w:rPr>
        <w:t>)</w:t>
      </w:r>
      <w:r>
        <w:rPr>
          <w:rStyle w:val="FootnoteReference"/>
          <w:rFonts w:eastAsiaTheme="minorHAnsi"/>
          <w:sz w:val="22"/>
          <w:szCs w:val="22"/>
          <w:rtl/>
        </w:rPr>
        <w:footnoteReference w:id="2"/>
      </w:r>
    </w:p>
    <w:p w14:paraId="66AE1590" w14:textId="77777777" w:rsidR="00055916" w:rsidRDefault="00055916" w:rsidP="00055916">
      <w:pPr>
        <w:pStyle w:val="Heading2"/>
        <w:rPr>
          <w:rtl/>
        </w:rPr>
      </w:pPr>
      <w:r>
        <w:rPr>
          <w:rFonts w:hint="cs"/>
          <w:rtl/>
        </w:rPr>
        <w:t xml:space="preserve">ברכת שמואל קידושין סימן ד </w:t>
      </w:r>
      <w:r>
        <w:rPr>
          <w:rFonts w:hint="cs"/>
          <w:sz w:val="22"/>
          <w:szCs w:val="22"/>
          <w:rtl/>
        </w:rPr>
        <w:t>(</w:t>
      </w:r>
      <w:hyperlink r:id="rId7" w:history="1">
        <w:r>
          <w:rPr>
            <w:rStyle w:val="Hyperlink"/>
            <w:rFonts w:eastAsiaTheme="minorHAnsi" w:hint="cs"/>
            <w:sz w:val="22"/>
            <w:szCs w:val="22"/>
            <w:rtl/>
          </w:rPr>
          <w:t>קישור</w:t>
        </w:r>
      </w:hyperlink>
      <w:r>
        <w:rPr>
          <w:rFonts w:hint="cs"/>
          <w:sz w:val="22"/>
          <w:szCs w:val="22"/>
          <w:rtl/>
        </w:rPr>
        <w:t>)</w:t>
      </w:r>
    </w:p>
    <w:p w14:paraId="00E29637" w14:textId="77777777" w:rsidR="001936CE" w:rsidRDefault="001936CE" w:rsidP="001936CE">
      <w:pPr>
        <w:pStyle w:val="Heading1"/>
      </w:pPr>
      <w:bookmarkStart w:id="2" w:name="_Toc511145786"/>
      <w:bookmarkStart w:id="3" w:name="_Ref476049860"/>
      <w:r>
        <w:rPr>
          <w:rFonts w:hint="cs"/>
          <w:rtl/>
        </w:rPr>
        <w:t>ריבית – שכר שבת מהבנק</w:t>
      </w:r>
      <w:bookmarkEnd w:id="2"/>
      <w:bookmarkEnd w:id="3"/>
    </w:p>
    <w:p w14:paraId="0FA97082" w14:textId="77777777" w:rsidR="001936CE" w:rsidRDefault="001936CE" w:rsidP="001936CE">
      <w:pPr>
        <w:pStyle w:val="Heading2"/>
      </w:pPr>
      <w:r>
        <w:rPr>
          <w:rFonts w:hint="cs"/>
          <w:rtl/>
        </w:rPr>
        <w:t>שו"ת אגרות משה אורח חיים חלק ד סימן נט</w:t>
      </w:r>
    </w:p>
    <w:p w14:paraId="724DEB5D" w14:textId="77777777" w:rsidR="001936CE" w:rsidRDefault="001936CE" w:rsidP="001936CE">
      <w:proofErr w:type="spellStart"/>
      <w:r>
        <w:rPr>
          <w:rFonts w:hint="cs"/>
          <w:rtl/>
        </w:rPr>
        <w:lastRenderedPageBreak/>
        <w:t>רבית</w:t>
      </w:r>
      <w:proofErr w:type="spellEnd"/>
      <w:r>
        <w:rPr>
          <w:rFonts w:hint="cs"/>
          <w:rtl/>
        </w:rPr>
        <w:t xml:space="preserve"> </w:t>
      </w:r>
      <w:proofErr w:type="spellStart"/>
      <w:r>
        <w:rPr>
          <w:rFonts w:hint="cs"/>
          <w:rtl/>
        </w:rPr>
        <w:t>מבאנק</w:t>
      </w:r>
      <w:proofErr w:type="spellEnd"/>
      <w:r>
        <w:rPr>
          <w:rFonts w:hint="cs"/>
          <w:rtl/>
        </w:rPr>
        <w:t xml:space="preserve"> /מבנק/ של גויים עבור שבת ויו"ט בע"ה. מע"כ בני חביבי הרב הגאון </w:t>
      </w:r>
      <w:proofErr w:type="spellStart"/>
      <w:r>
        <w:rPr>
          <w:rFonts w:hint="cs"/>
          <w:rtl/>
        </w:rPr>
        <w:t>מוהר"ר</w:t>
      </w:r>
      <w:proofErr w:type="spellEnd"/>
      <w:r>
        <w:rPr>
          <w:rFonts w:hint="cs"/>
          <w:rtl/>
        </w:rPr>
        <w:t xml:space="preserve"> דוד </w:t>
      </w:r>
      <w:proofErr w:type="spellStart"/>
      <w:r>
        <w:rPr>
          <w:rFonts w:hint="cs"/>
          <w:rtl/>
        </w:rPr>
        <w:t>פיינשטיין</w:t>
      </w:r>
      <w:proofErr w:type="spellEnd"/>
      <w:r>
        <w:rPr>
          <w:rFonts w:hint="cs"/>
          <w:rtl/>
        </w:rPr>
        <w:t xml:space="preserve"> </w:t>
      </w:r>
      <w:proofErr w:type="spellStart"/>
      <w:r>
        <w:rPr>
          <w:rFonts w:hint="cs"/>
          <w:rtl/>
        </w:rPr>
        <w:t>שליט"א</w:t>
      </w:r>
      <w:proofErr w:type="spellEnd"/>
      <w:r>
        <w:rPr>
          <w:rFonts w:hint="cs"/>
          <w:rtl/>
        </w:rPr>
        <w:t xml:space="preserve">.  </w:t>
      </w:r>
    </w:p>
    <w:p w14:paraId="324B46B6" w14:textId="77777777" w:rsidR="001936CE" w:rsidRDefault="001936CE" w:rsidP="001936CE">
      <w:pPr>
        <w:rPr>
          <w:rtl/>
        </w:rPr>
      </w:pPr>
      <w:r>
        <w:rPr>
          <w:rFonts w:hint="cs"/>
          <w:rtl/>
        </w:rPr>
        <w:t xml:space="preserve">  בדבר מה שנתחדש עכשיו </w:t>
      </w:r>
      <w:proofErr w:type="spellStart"/>
      <w:r>
        <w:rPr>
          <w:rFonts w:hint="cs"/>
          <w:rtl/>
        </w:rPr>
        <w:t>שהבאנק</w:t>
      </w:r>
      <w:proofErr w:type="spellEnd"/>
      <w:r>
        <w:rPr>
          <w:rFonts w:hint="cs"/>
          <w:rtl/>
        </w:rPr>
        <w:t xml:space="preserve"> משלם ריבית לפי סך הימים שהיו המעות </w:t>
      </w:r>
      <w:proofErr w:type="spellStart"/>
      <w:r>
        <w:rPr>
          <w:rFonts w:hint="cs"/>
          <w:rtl/>
        </w:rPr>
        <w:t>בהבאנק</w:t>
      </w:r>
      <w:proofErr w:type="spellEnd"/>
      <w:r>
        <w:rPr>
          <w:rFonts w:hint="cs"/>
          <w:rtl/>
        </w:rPr>
        <w:t xml:space="preserve">, שא"כ הרי יש לאסור מליטול ריבית עבור ימי שבת וימים טובים מאיסור שכר שבת </w:t>
      </w:r>
      <w:proofErr w:type="spellStart"/>
      <w:r>
        <w:rPr>
          <w:rFonts w:hint="cs"/>
          <w:rtl/>
        </w:rPr>
        <w:t>כדאיתא</w:t>
      </w:r>
      <w:proofErr w:type="spellEnd"/>
      <w:r>
        <w:rPr>
          <w:rFonts w:hint="cs"/>
          <w:rtl/>
        </w:rPr>
        <w:t xml:space="preserve"> </w:t>
      </w:r>
      <w:proofErr w:type="spellStart"/>
      <w:r>
        <w:rPr>
          <w:rFonts w:hint="cs"/>
          <w:rtl/>
        </w:rPr>
        <w:t>במג"א</w:t>
      </w:r>
      <w:proofErr w:type="spellEnd"/>
      <w:r>
        <w:rPr>
          <w:rFonts w:hint="cs"/>
          <w:rtl/>
        </w:rPr>
        <w:t xml:space="preserve"> סימן ש"ו </w:t>
      </w:r>
      <w:proofErr w:type="spellStart"/>
      <w:r>
        <w:rPr>
          <w:rFonts w:hint="cs"/>
          <w:rtl/>
        </w:rPr>
        <w:t>סק"ז</w:t>
      </w:r>
      <w:proofErr w:type="spellEnd"/>
      <w:r>
        <w:rPr>
          <w:rFonts w:hint="cs"/>
          <w:rtl/>
        </w:rPr>
        <w:t xml:space="preserve">, יפה כתבת </w:t>
      </w:r>
      <w:proofErr w:type="spellStart"/>
      <w:r>
        <w:rPr>
          <w:rFonts w:hint="cs"/>
          <w:rtl/>
        </w:rPr>
        <w:t>דכיון</w:t>
      </w:r>
      <w:proofErr w:type="spellEnd"/>
      <w:r>
        <w:rPr>
          <w:rFonts w:hint="cs"/>
          <w:rtl/>
        </w:rPr>
        <w:t xml:space="preserve"> </w:t>
      </w:r>
      <w:proofErr w:type="spellStart"/>
      <w:r>
        <w:rPr>
          <w:rFonts w:hint="cs"/>
          <w:rtl/>
        </w:rPr>
        <w:t>דהם</w:t>
      </w:r>
      <w:proofErr w:type="spellEnd"/>
      <w:r>
        <w:rPr>
          <w:rFonts w:hint="cs"/>
          <w:rtl/>
        </w:rPr>
        <w:t xml:space="preserve"> </w:t>
      </w:r>
      <w:proofErr w:type="spellStart"/>
      <w:r>
        <w:rPr>
          <w:rFonts w:hint="cs"/>
          <w:rtl/>
        </w:rPr>
        <w:t>חושבין</w:t>
      </w:r>
      <w:proofErr w:type="spellEnd"/>
      <w:r>
        <w:rPr>
          <w:rFonts w:hint="cs"/>
          <w:rtl/>
        </w:rPr>
        <w:t xml:space="preserve"> יום מחצות הלילה עד חצות הלילה שלכן הוו </w:t>
      </w:r>
      <w:proofErr w:type="spellStart"/>
      <w:r>
        <w:rPr>
          <w:rFonts w:hint="cs"/>
          <w:rtl/>
        </w:rPr>
        <w:t>התשלומין</w:t>
      </w:r>
      <w:proofErr w:type="spellEnd"/>
      <w:r>
        <w:rPr>
          <w:rFonts w:hint="cs"/>
          <w:rtl/>
        </w:rPr>
        <w:t xml:space="preserve"> דריבית עבור שעות </w:t>
      </w:r>
      <w:proofErr w:type="spellStart"/>
      <w:r>
        <w:rPr>
          <w:rFonts w:hint="cs"/>
          <w:rtl/>
        </w:rPr>
        <w:t>דחול</w:t>
      </w:r>
      <w:proofErr w:type="spellEnd"/>
      <w:r>
        <w:rPr>
          <w:rFonts w:hint="cs"/>
          <w:rtl/>
        </w:rPr>
        <w:t xml:space="preserve"> ג"כ שהוא בהבלעה </w:t>
      </w:r>
      <w:proofErr w:type="spellStart"/>
      <w:r>
        <w:rPr>
          <w:rFonts w:hint="cs"/>
          <w:rtl/>
        </w:rPr>
        <w:t>דשעות</w:t>
      </w:r>
      <w:proofErr w:type="spellEnd"/>
      <w:r>
        <w:rPr>
          <w:rFonts w:hint="cs"/>
          <w:rtl/>
        </w:rPr>
        <w:t xml:space="preserve"> של חול ממוצאי שבת עד חצות הלילה, אבל כששבת ויו"ט </w:t>
      </w:r>
      <w:proofErr w:type="spellStart"/>
      <w:r>
        <w:rPr>
          <w:rFonts w:hint="cs"/>
          <w:rtl/>
        </w:rPr>
        <w:t>סמוכין</w:t>
      </w:r>
      <w:proofErr w:type="spellEnd"/>
      <w:r>
        <w:rPr>
          <w:rFonts w:hint="cs"/>
          <w:rtl/>
        </w:rPr>
        <w:t xml:space="preserve"> דהוא בין שיו"ט חל בע"ש =בערב שבת= בין שיו"ט הוא במוצאי שבת יש לאסור מליטול בעד יום הראשון </w:t>
      </w:r>
      <w:proofErr w:type="spellStart"/>
      <w:r>
        <w:rPr>
          <w:rFonts w:hint="cs"/>
          <w:rtl/>
        </w:rPr>
        <w:t>דמתחיל</w:t>
      </w:r>
      <w:proofErr w:type="spellEnd"/>
      <w:r>
        <w:rPr>
          <w:rFonts w:hint="cs"/>
          <w:rtl/>
        </w:rPr>
        <w:t xml:space="preserve"> אצלם בחצות לילה ונמשך עד חצות לילה השני, דהרי בין השעות שהן משבת </w:t>
      </w:r>
      <w:proofErr w:type="spellStart"/>
      <w:r>
        <w:rPr>
          <w:rFonts w:hint="cs"/>
          <w:rtl/>
        </w:rPr>
        <w:t>אסורין</w:t>
      </w:r>
      <w:proofErr w:type="spellEnd"/>
      <w:r>
        <w:rPr>
          <w:rFonts w:hint="cs"/>
          <w:rtl/>
        </w:rPr>
        <w:t xml:space="preserve"> ובין השעות שהן מיו"ט </w:t>
      </w:r>
      <w:proofErr w:type="spellStart"/>
      <w:r>
        <w:rPr>
          <w:rFonts w:hint="cs"/>
          <w:rtl/>
        </w:rPr>
        <w:t>אסורין</w:t>
      </w:r>
      <w:proofErr w:type="spellEnd"/>
      <w:r>
        <w:rPr>
          <w:rFonts w:hint="cs"/>
          <w:rtl/>
        </w:rPr>
        <w:t xml:space="preserve">, אבל הריבית בעד יום השני מותר דהרי איכא שעות אחרונות דהן חול. ובשני יו"ט של גליות מסתבר </w:t>
      </w:r>
      <w:proofErr w:type="spellStart"/>
      <w:r>
        <w:rPr>
          <w:rFonts w:hint="cs"/>
          <w:rtl/>
        </w:rPr>
        <w:t>דכיון</w:t>
      </w:r>
      <w:proofErr w:type="spellEnd"/>
      <w:r>
        <w:rPr>
          <w:rFonts w:hint="cs"/>
          <w:rtl/>
        </w:rPr>
        <w:t xml:space="preserve"> </w:t>
      </w:r>
      <w:proofErr w:type="spellStart"/>
      <w:r>
        <w:rPr>
          <w:rFonts w:hint="cs"/>
          <w:rtl/>
        </w:rPr>
        <w:t>דעשו</w:t>
      </w:r>
      <w:proofErr w:type="spellEnd"/>
      <w:r>
        <w:rPr>
          <w:rFonts w:hint="cs"/>
          <w:rtl/>
        </w:rPr>
        <w:t xml:space="preserve"> לדין יו"ט שני בדין ספק </w:t>
      </w:r>
      <w:proofErr w:type="spellStart"/>
      <w:r>
        <w:rPr>
          <w:rFonts w:hint="cs"/>
          <w:rtl/>
        </w:rPr>
        <w:t>דהא</w:t>
      </w:r>
      <w:proofErr w:type="spellEnd"/>
      <w:r>
        <w:rPr>
          <w:rFonts w:hint="cs"/>
          <w:rtl/>
        </w:rPr>
        <w:t xml:space="preserve"> ביצה שנולדה בזה מותרת בזה לרב בביצה דף ד' והלכה כמותו, א"כ לא שייך לאסור שכר יו"ט בפועל ששמר שני הימים אלא בעד יום אחד, וממילא בריבית של </w:t>
      </w:r>
      <w:proofErr w:type="spellStart"/>
      <w:r>
        <w:rPr>
          <w:rFonts w:hint="cs"/>
          <w:rtl/>
        </w:rPr>
        <w:t>הבאנק</w:t>
      </w:r>
      <w:proofErr w:type="spellEnd"/>
      <w:r>
        <w:rPr>
          <w:rFonts w:hint="cs"/>
          <w:rtl/>
        </w:rPr>
        <w:t xml:space="preserve"> שהיום מתחיל מחצות הלילה ונגמר בחצות הלילה הרי </w:t>
      </w:r>
      <w:proofErr w:type="spellStart"/>
      <w:r>
        <w:rPr>
          <w:rFonts w:hint="cs"/>
          <w:rtl/>
        </w:rPr>
        <w:t>ליכא</w:t>
      </w:r>
      <w:proofErr w:type="spellEnd"/>
      <w:r>
        <w:rPr>
          <w:rFonts w:hint="cs"/>
          <w:rtl/>
        </w:rPr>
        <w:t xml:space="preserve"> שום איסור </w:t>
      </w:r>
      <w:proofErr w:type="spellStart"/>
      <w:r>
        <w:rPr>
          <w:rFonts w:hint="cs"/>
          <w:rtl/>
        </w:rPr>
        <w:t>דאליבא</w:t>
      </w:r>
      <w:proofErr w:type="spellEnd"/>
      <w:r>
        <w:rPr>
          <w:rFonts w:hint="cs"/>
          <w:rtl/>
        </w:rPr>
        <w:t xml:space="preserve"> </w:t>
      </w:r>
      <w:proofErr w:type="spellStart"/>
      <w:r>
        <w:rPr>
          <w:rFonts w:hint="cs"/>
          <w:rtl/>
        </w:rPr>
        <w:t>דהודאי</w:t>
      </w:r>
      <w:proofErr w:type="spellEnd"/>
      <w:r>
        <w:rPr>
          <w:rFonts w:hint="cs"/>
          <w:rtl/>
        </w:rPr>
        <w:t xml:space="preserve"> איכא ודאי גם שעות </w:t>
      </w:r>
      <w:proofErr w:type="spellStart"/>
      <w:r>
        <w:rPr>
          <w:rFonts w:hint="cs"/>
          <w:rtl/>
        </w:rPr>
        <w:t>דחול</w:t>
      </w:r>
      <w:proofErr w:type="spellEnd"/>
      <w:r>
        <w:rPr>
          <w:rFonts w:hint="cs"/>
          <w:rtl/>
        </w:rPr>
        <w:t xml:space="preserve"> ביום </w:t>
      </w:r>
      <w:proofErr w:type="spellStart"/>
      <w:r>
        <w:rPr>
          <w:rFonts w:hint="cs"/>
          <w:rtl/>
        </w:rPr>
        <w:t>שמשלמין</w:t>
      </w:r>
      <w:proofErr w:type="spellEnd"/>
      <w:r>
        <w:rPr>
          <w:rFonts w:hint="cs"/>
          <w:rtl/>
        </w:rPr>
        <w:t xml:space="preserve"> עבורו ריבית </w:t>
      </w:r>
      <w:proofErr w:type="spellStart"/>
      <w:r>
        <w:rPr>
          <w:rFonts w:hint="cs"/>
          <w:rtl/>
        </w:rPr>
        <w:t>והוי</w:t>
      </w:r>
      <w:proofErr w:type="spellEnd"/>
      <w:r>
        <w:rPr>
          <w:rFonts w:hint="cs"/>
          <w:rtl/>
        </w:rPr>
        <w:t xml:space="preserve"> בהבלעה שמותר. </w:t>
      </w:r>
      <w:proofErr w:type="spellStart"/>
      <w:r>
        <w:rPr>
          <w:rFonts w:hint="cs"/>
          <w:rtl/>
        </w:rPr>
        <w:t>ובאיכא</w:t>
      </w:r>
      <w:proofErr w:type="spellEnd"/>
      <w:r>
        <w:rPr>
          <w:rFonts w:hint="cs"/>
          <w:rtl/>
        </w:rPr>
        <w:t xml:space="preserve"> </w:t>
      </w:r>
      <w:proofErr w:type="spellStart"/>
      <w:r>
        <w:rPr>
          <w:rFonts w:hint="cs"/>
          <w:rtl/>
        </w:rPr>
        <w:t>תלתא</w:t>
      </w:r>
      <w:proofErr w:type="spellEnd"/>
      <w:r>
        <w:rPr>
          <w:rFonts w:hint="cs"/>
          <w:rtl/>
        </w:rPr>
        <w:t xml:space="preserve"> יומי כמו כשיו"ט הוא ביום ה' וע"ש או במוצאי שבת ויום ב' אסור מדין שכר שבת ויו"ט </w:t>
      </w:r>
      <w:proofErr w:type="spellStart"/>
      <w:r>
        <w:rPr>
          <w:rFonts w:hint="cs"/>
          <w:rtl/>
        </w:rPr>
        <w:t>נמי</w:t>
      </w:r>
      <w:proofErr w:type="spellEnd"/>
      <w:r>
        <w:rPr>
          <w:rFonts w:hint="cs"/>
          <w:rtl/>
        </w:rPr>
        <w:t xml:space="preserve"> רק יום אחד דהוא כשיו"ט ביום ה' וע"ש =וערב שבת= אסור </w:t>
      </w:r>
      <w:proofErr w:type="spellStart"/>
      <w:r>
        <w:rPr>
          <w:rFonts w:hint="cs"/>
          <w:rtl/>
        </w:rPr>
        <w:t>ליקח</w:t>
      </w:r>
      <w:proofErr w:type="spellEnd"/>
      <w:r>
        <w:rPr>
          <w:rFonts w:hint="cs"/>
          <w:rtl/>
        </w:rPr>
        <w:t xml:space="preserve"> בעד יו"ט שני </w:t>
      </w:r>
      <w:proofErr w:type="spellStart"/>
      <w:r>
        <w:rPr>
          <w:rFonts w:hint="cs"/>
          <w:rtl/>
        </w:rPr>
        <w:t>דבע"ש</w:t>
      </w:r>
      <w:proofErr w:type="spellEnd"/>
      <w:r>
        <w:rPr>
          <w:rFonts w:hint="cs"/>
          <w:rtl/>
        </w:rPr>
        <w:t xml:space="preserve">, ואם יו"ט הוא במוצ"ש =במוצאי שבת= ויום ב' אסור בעד יום השבת (ובשני יו"ט של ר"ה אולי יש לאסור בעד יום אחד דהרי הם </w:t>
      </w:r>
      <w:proofErr w:type="spellStart"/>
      <w:r>
        <w:rPr>
          <w:rFonts w:hint="cs"/>
          <w:rtl/>
        </w:rPr>
        <w:t>כיומא</w:t>
      </w:r>
      <w:proofErr w:type="spellEnd"/>
      <w:r>
        <w:rPr>
          <w:rFonts w:hint="cs"/>
          <w:rtl/>
        </w:rPr>
        <w:t xml:space="preserve"> </w:t>
      </w:r>
      <w:proofErr w:type="spellStart"/>
      <w:r>
        <w:rPr>
          <w:rFonts w:hint="cs"/>
          <w:rtl/>
        </w:rPr>
        <w:t>אריכתא</w:t>
      </w:r>
      <w:proofErr w:type="spellEnd"/>
      <w:r>
        <w:rPr>
          <w:rFonts w:hint="cs"/>
          <w:rtl/>
        </w:rPr>
        <w:t xml:space="preserve"> לרוב הדינים וראוי להחמיר) זהו מה שנראה </w:t>
      </w:r>
      <w:proofErr w:type="spellStart"/>
      <w:r>
        <w:rPr>
          <w:rFonts w:hint="cs"/>
          <w:rtl/>
        </w:rPr>
        <w:t>לע"ד</w:t>
      </w:r>
      <w:proofErr w:type="spellEnd"/>
      <w:r>
        <w:rPr>
          <w:rFonts w:hint="cs"/>
          <w:rtl/>
        </w:rPr>
        <w:t xml:space="preserve">.  </w:t>
      </w:r>
    </w:p>
    <w:p w14:paraId="0CE46FFD" w14:textId="77777777" w:rsidR="001936CE" w:rsidRDefault="001936CE" w:rsidP="001936CE">
      <w:pPr>
        <w:rPr>
          <w:rtl/>
        </w:rPr>
      </w:pPr>
      <w:r>
        <w:rPr>
          <w:rFonts w:hint="cs"/>
          <w:rtl/>
        </w:rPr>
        <w:t xml:space="preserve">  ונראה </w:t>
      </w:r>
      <w:proofErr w:type="spellStart"/>
      <w:r>
        <w:rPr>
          <w:rFonts w:hint="cs"/>
          <w:rtl/>
        </w:rPr>
        <w:t>דהשכר</w:t>
      </w:r>
      <w:proofErr w:type="spellEnd"/>
      <w:r>
        <w:rPr>
          <w:rFonts w:hint="cs"/>
          <w:rtl/>
        </w:rPr>
        <w:t xml:space="preserve"> </w:t>
      </w:r>
      <w:proofErr w:type="spellStart"/>
      <w:r>
        <w:rPr>
          <w:rFonts w:hint="cs"/>
          <w:rtl/>
        </w:rPr>
        <w:t>דיום</w:t>
      </w:r>
      <w:proofErr w:type="spellEnd"/>
      <w:r>
        <w:rPr>
          <w:rFonts w:hint="cs"/>
          <w:rtl/>
        </w:rPr>
        <w:t xml:space="preserve"> האסור שלא שייך להניחו שם </w:t>
      </w:r>
      <w:proofErr w:type="spellStart"/>
      <w:r>
        <w:rPr>
          <w:rFonts w:hint="cs"/>
          <w:rtl/>
        </w:rPr>
        <w:t>יתנהו</w:t>
      </w:r>
      <w:proofErr w:type="spellEnd"/>
      <w:r>
        <w:rPr>
          <w:rFonts w:hint="cs"/>
          <w:rtl/>
        </w:rPr>
        <w:t xml:space="preserve"> לאיזה צדקה ובאופן שלא ידעו כלל ולא יהיה לו שום הנאה אף לא הכרת טובה משום אדם. והנני אביך אוהבך </w:t>
      </w:r>
      <w:proofErr w:type="spellStart"/>
      <w:r>
        <w:rPr>
          <w:rFonts w:hint="cs"/>
          <w:rtl/>
        </w:rPr>
        <w:t>בלו"נ</w:t>
      </w:r>
      <w:proofErr w:type="spellEnd"/>
      <w:r>
        <w:rPr>
          <w:rFonts w:hint="cs"/>
          <w:rtl/>
        </w:rPr>
        <w:t xml:space="preserve">, משה </w:t>
      </w:r>
      <w:proofErr w:type="spellStart"/>
      <w:r>
        <w:rPr>
          <w:rFonts w:hint="cs"/>
          <w:rtl/>
        </w:rPr>
        <w:t>פיינשטיין</w:t>
      </w:r>
      <w:proofErr w:type="spellEnd"/>
      <w:r>
        <w:rPr>
          <w:rFonts w:hint="cs"/>
          <w:rtl/>
        </w:rPr>
        <w:t>.</w:t>
      </w:r>
    </w:p>
    <w:p w14:paraId="32A8F568" w14:textId="77777777" w:rsidR="001936CE" w:rsidRDefault="001936CE" w:rsidP="001936CE">
      <w:pPr>
        <w:pStyle w:val="Heading2"/>
        <w:rPr>
          <w:rtl/>
        </w:rPr>
      </w:pPr>
      <w:r>
        <w:rPr>
          <w:rFonts w:hint="cs"/>
          <w:rtl/>
        </w:rPr>
        <w:t>שו"ת אגרות משה אורח חיים חלק ה סימן לח אות ט</w:t>
      </w:r>
    </w:p>
    <w:p w14:paraId="16DB6EFA" w14:textId="77777777" w:rsidR="001936CE" w:rsidRDefault="001936CE" w:rsidP="001936CE">
      <w:r>
        <w:rPr>
          <w:rtl/>
        </w:rPr>
        <w:t xml:space="preserve">  </w:t>
      </w:r>
      <w:proofErr w:type="spellStart"/>
      <w:r>
        <w:rPr>
          <w:rFonts w:hint="cs"/>
          <w:rtl/>
        </w:rPr>
        <w:t>באנק</w:t>
      </w:r>
      <w:proofErr w:type="spellEnd"/>
      <w:r>
        <w:rPr>
          <w:rFonts w:hint="cs"/>
          <w:rtl/>
        </w:rPr>
        <w:t xml:space="preserve"> שמשלם ריבית יומית, אם הריבית לשבת חשובה כניתנת בהבלעה מחמת </w:t>
      </w:r>
      <w:proofErr w:type="spellStart"/>
      <w:r>
        <w:rPr>
          <w:rFonts w:hint="cs"/>
          <w:rtl/>
        </w:rPr>
        <w:t>שהבאנק</w:t>
      </w:r>
      <w:proofErr w:type="spellEnd"/>
      <w:r>
        <w:rPr>
          <w:rFonts w:hint="cs"/>
          <w:rtl/>
        </w:rPr>
        <w:t xml:space="preserve"> משלם ריבית רק על פיקדון לזמן ממושך  </w:t>
      </w:r>
    </w:p>
    <w:p w14:paraId="7B3D1847" w14:textId="77777777" w:rsidR="001936CE" w:rsidRDefault="001936CE" w:rsidP="001936CE">
      <w:pPr>
        <w:rPr>
          <w:rtl/>
        </w:rPr>
      </w:pPr>
      <w:r>
        <w:rPr>
          <w:rFonts w:hint="cs"/>
          <w:rtl/>
        </w:rPr>
        <w:t xml:space="preserve">  ובדבר מה שכתבתי </w:t>
      </w:r>
      <w:proofErr w:type="spellStart"/>
      <w:r>
        <w:rPr>
          <w:rFonts w:hint="cs"/>
          <w:rtl/>
        </w:rPr>
        <w:t>באג"מ</w:t>
      </w:r>
      <w:proofErr w:type="spellEnd"/>
      <w:r>
        <w:rPr>
          <w:rFonts w:hint="cs"/>
          <w:rtl/>
        </w:rPr>
        <w:t xml:space="preserve"> </w:t>
      </w:r>
      <w:proofErr w:type="spellStart"/>
      <w:r>
        <w:rPr>
          <w:rFonts w:hint="cs"/>
          <w:rtl/>
        </w:rPr>
        <w:t>או"ח</w:t>
      </w:r>
      <w:proofErr w:type="spellEnd"/>
      <w:r>
        <w:rPr>
          <w:rFonts w:hint="cs"/>
          <w:rtl/>
        </w:rPr>
        <w:t xml:space="preserve"> ח"ד סימן נ"ט, </w:t>
      </w:r>
      <w:proofErr w:type="spellStart"/>
      <w:r>
        <w:rPr>
          <w:rFonts w:hint="cs"/>
          <w:rtl/>
        </w:rPr>
        <w:t>בבאנק</w:t>
      </w:r>
      <w:proofErr w:type="spellEnd"/>
      <w:r>
        <w:rPr>
          <w:rFonts w:hint="cs"/>
          <w:rtl/>
        </w:rPr>
        <w:t xml:space="preserve"> שמשלם ריבית לפי סך הימים שהיו </w:t>
      </w:r>
      <w:proofErr w:type="spellStart"/>
      <w:r>
        <w:rPr>
          <w:rFonts w:hint="cs"/>
          <w:rtl/>
        </w:rPr>
        <w:t>בהבאנק</w:t>
      </w:r>
      <w:proofErr w:type="spellEnd"/>
      <w:r>
        <w:rPr>
          <w:rFonts w:hint="cs"/>
          <w:rtl/>
        </w:rPr>
        <w:t xml:space="preserve">, שבעצם היה זה אסור מאיסור שכר שבת. ורק מחמת שאצלם </w:t>
      </w:r>
      <w:proofErr w:type="spellStart"/>
      <w:r>
        <w:rPr>
          <w:rFonts w:hint="cs"/>
          <w:rtl/>
        </w:rPr>
        <w:t>חושבין</w:t>
      </w:r>
      <w:proofErr w:type="spellEnd"/>
      <w:r>
        <w:rPr>
          <w:rFonts w:hint="cs"/>
          <w:rtl/>
        </w:rPr>
        <w:t xml:space="preserve"> היום מחצות לילה עד חצות לילה, </w:t>
      </w:r>
      <w:proofErr w:type="spellStart"/>
      <w:r>
        <w:rPr>
          <w:rFonts w:hint="cs"/>
          <w:rtl/>
        </w:rPr>
        <w:t>שאיכא</w:t>
      </w:r>
      <w:proofErr w:type="spellEnd"/>
      <w:r>
        <w:rPr>
          <w:rFonts w:hint="cs"/>
          <w:rtl/>
        </w:rPr>
        <w:t xml:space="preserve"> איזה שעות מחול שהוו תשלומי הריבית גם </w:t>
      </w:r>
      <w:proofErr w:type="spellStart"/>
      <w:r>
        <w:rPr>
          <w:rFonts w:hint="cs"/>
          <w:rtl/>
        </w:rPr>
        <w:t>עלייהו</w:t>
      </w:r>
      <w:proofErr w:type="spellEnd"/>
      <w:r>
        <w:rPr>
          <w:rFonts w:hint="cs"/>
          <w:rtl/>
        </w:rPr>
        <w:t xml:space="preserve">, שנמצא שהוא בהבלעה, יש להתיר. שלכן כששבת ויו"ט </w:t>
      </w:r>
      <w:proofErr w:type="spellStart"/>
      <w:r>
        <w:rPr>
          <w:rFonts w:hint="cs"/>
          <w:rtl/>
        </w:rPr>
        <w:t>סמוכין</w:t>
      </w:r>
      <w:proofErr w:type="spellEnd"/>
      <w:r>
        <w:rPr>
          <w:rFonts w:hint="cs"/>
          <w:rtl/>
        </w:rPr>
        <w:t xml:space="preserve">, יש לאסור רק מליטול בעד יום הראשון שהוא מחצות לילה </w:t>
      </w:r>
      <w:proofErr w:type="spellStart"/>
      <w:r>
        <w:rPr>
          <w:rFonts w:hint="cs"/>
          <w:rtl/>
        </w:rPr>
        <w:t>דראשון</w:t>
      </w:r>
      <w:proofErr w:type="spellEnd"/>
      <w:r>
        <w:rPr>
          <w:rFonts w:hint="cs"/>
          <w:rtl/>
        </w:rPr>
        <w:t xml:space="preserve"> עד חצות לילה דשני, אבל על יום השני מותר, בשביל שעות אחרונות דהן חול. </w:t>
      </w:r>
      <w:proofErr w:type="spellStart"/>
      <w:r>
        <w:rPr>
          <w:rFonts w:hint="cs"/>
          <w:rtl/>
        </w:rPr>
        <w:t>וכתר"ה</w:t>
      </w:r>
      <w:proofErr w:type="spellEnd"/>
      <w:r>
        <w:rPr>
          <w:rFonts w:hint="cs"/>
          <w:rtl/>
        </w:rPr>
        <w:t xml:space="preserve"> העיר שיש טעם להתיר לגמרי, משום </w:t>
      </w:r>
      <w:proofErr w:type="spellStart"/>
      <w:r>
        <w:rPr>
          <w:rFonts w:hint="cs"/>
          <w:rtl/>
        </w:rPr>
        <w:t>דהבאנק</w:t>
      </w:r>
      <w:proofErr w:type="spellEnd"/>
      <w:r>
        <w:rPr>
          <w:rFonts w:hint="cs"/>
          <w:rtl/>
        </w:rPr>
        <w:t xml:space="preserve"> לא מעוניין בריבית של יום אחד אלא בהמשכת ריבית </w:t>
      </w:r>
      <w:proofErr w:type="spellStart"/>
      <w:r>
        <w:rPr>
          <w:rFonts w:hint="cs"/>
          <w:rtl/>
        </w:rPr>
        <w:t>דהרבה</w:t>
      </w:r>
      <w:proofErr w:type="spellEnd"/>
      <w:r>
        <w:rPr>
          <w:rFonts w:hint="cs"/>
          <w:rtl/>
        </w:rPr>
        <w:t xml:space="preserve"> זמן, ולא היו מקבלים כלל על יום אחד. וא"כ אף </w:t>
      </w:r>
      <w:proofErr w:type="spellStart"/>
      <w:r>
        <w:rPr>
          <w:rFonts w:hint="cs"/>
          <w:rtl/>
        </w:rPr>
        <w:t>שמשלמין</w:t>
      </w:r>
      <w:proofErr w:type="spellEnd"/>
      <w:r>
        <w:rPr>
          <w:rFonts w:hint="cs"/>
          <w:rtl/>
        </w:rPr>
        <w:t xml:space="preserve"> בחשבונם על כל יום, הווי זה בדרך הבלעה. </w:t>
      </w:r>
      <w:proofErr w:type="spellStart"/>
      <w:r>
        <w:rPr>
          <w:rFonts w:hint="cs"/>
          <w:rtl/>
        </w:rPr>
        <w:t>וכתר"ה</w:t>
      </w:r>
      <w:proofErr w:type="spellEnd"/>
      <w:r>
        <w:rPr>
          <w:rFonts w:hint="cs"/>
          <w:rtl/>
        </w:rPr>
        <w:t xml:space="preserve"> שמע מנכדי </w:t>
      </w:r>
      <w:proofErr w:type="spellStart"/>
      <w:r>
        <w:rPr>
          <w:rFonts w:hint="cs"/>
          <w:rtl/>
        </w:rPr>
        <w:t>הר"ר</w:t>
      </w:r>
      <w:proofErr w:type="spellEnd"/>
      <w:r>
        <w:rPr>
          <w:rFonts w:hint="cs"/>
          <w:rtl/>
        </w:rPr>
        <w:t xml:space="preserve"> מרדכי </w:t>
      </w:r>
      <w:proofErr w:type="spellStart"/>
      <w:r>
        <w:rPr>
          <w:rFonts w:hint="cs"/>
          <w:rtl/>
        </w:rPr>
        <w:t>שליט"א</w:t>
      </w:r>
      <w:proofErr w:type="spellEnd"/>
      <w:r>
        <w:rPr>
          <w:rFonts w:hint="cs"/>
          <w:rtl/>
        </w:rPr>
        <w:t xml:space="preserve">, שהוריתי להיתר לאחד שיש לו מושב זקנים ומקבל תמיכה מהמדינה לכל יום ויום, </w:t>
      </w:r>
      <w:proofErr w:type="spellStart"/>
      <w:r>
        <w:rPr>
          <w:rFonts w:hint="cs"/>
          <w:rtl/>
        </w:rPr>
        <w:t>ליקח</w:t>
      </w:r>
      <w:proofErr w:type="spellEnd"/>
      <w:r>
        <w:rPr>
          <w:rFonts w:hint="cs"/>
          <w:rtl/>
        </w:rPr>
        <w:t xml:space="preserve"> גם עבור ימי שבת ויו"ט מצד טעם זה שבשביל יום אחד לא היו </w:t>
      </w:r>
      <w:proofErr w:type="spellStart"/>
      <w:r>
        <w:rPr>
          <w:rFonts w:hint="cs"/>
          <w:rtl/>
        </w:rPr>
        <w:t>נותנין</w:t>
      </w:r>
      <w:proofErr w:type="spellEnd"/>
      <w:r>
        <w:rPr>
          <w:rFonts w:hint="cs"/>
          <w:rtl/>
        </w:rPr>
        <w:t xml:space="preserve">, שא"כ </w:t>
      </w:r>
      <w:proofErr w:type="spellStart"/>
      <w:r>
        <w:rPr>
          <w:rFonts w:hint="cs"/>
          <w:rtl/>
        </w:rPr>
        <w:t>הויא</w:t>
      </w:r>
      <w:proofErr w:type="spellEnd"/>
      <w:r>
        <w:rPr>
          <w:rFonts w:hint="cs"/>
          <w:rtl/>
        </w:rPr>
        <w:t xml:space="preserve"> תמיכתם על ריבוי הזמן, ורק החשבון בעלמא נקל להם לעשות בחלוקה לימים, שלכן הוא בדרך הבלעה. שא"כ קשה מ"ט לא כתבתי היתר מטעם זה גם בעניין </w:t>
      </w:r>
      <w:proofErr w:type="spellStart"/>
      <w:r>
        <w:rPr>
          <w:rFonts w:hint="cs"/>
          <w:rtl/>
        </w:rPr>
        <w:t>הבאנק</w:t>
      </w:r>
      <w:proofErr w:type="spellEnd"/>
      <w:r>
        <w:rPr>
          <w:rFonts w:hint="cs"/>
          <w:rtl/>
        </w:rPr>
        <w:t xml:space="preserve">, ויהיה מותר </w:t>
      </w:r>
      <w:proofErr w:type="spellStart"/>
      <w:r>
        <w:rPr>
          <w:rFonts w:hint="cs"/>
          <w:rtl/>
        </w:rPr>
        <w:t>ליקח</w:t>
      </w:r>
      <w:proofErr w:type="spellEnd"/>
      <w:r>
        <w:rPr>
          <w:rFonts w:hint="cs"/>
          <w:rtl/>
        </w:rPr>
        <w:t xml:space="preserve"> כשיהיו </w:t>
      </w:r>
      <w:proofErr w:type="spellStart"/>
      <w:r>
        <w:rPr>
          <w:rFonts w:hint="cs"/>
          <w:rtl/>
        </w:rPr>
        <w:t>סמוכין</w:t>
      </w:r>
      <w:proofErr w:type="spellEnd"/>
      <w:r>
        <w:rPr>
          <w:rFonts w:hint="cs"/>
          <w:rtl/>
        </w:rPr>
        <w:t xml:space="preserve"> שבת ויו"ט גם בעד שני הימים.  </w:t>
      </w:r>
    </w:p>
    <w:p w14:paraId="71D9431E" w14:textId="77777777" w:rsidR="001936CE" w:rsidRDefault="001936CE" w:rsidP="001936CE">
      <w:pPr>
        <w:rPr>
          <w:rtl/>
        </w:rPr>
      </w:pPr>
      <w:r>
        <w:rPr>
          <w:rFonts w:hint="cs"/>
          <w:rtl/>
        </w:rPr>
        <w:t xml:space="preserve">  הנה אף שלכאורה צדק </w:t>
      </w:r>
      <w:proofErr w:type="spellStart"/>
      <w:r>
        <w:rPr>
          <w:rFonts w:hint="cs"/>
          <w:rtl/>
        </w:rPr>
        <w:t>כתר"ה</w:t>
      </w:r>
      <w:proofErr w:type="spellEnd"/>
      <w:r>
        <w:rPr>
          <w:rFonts w:hint="cs"/>
          <w:rtl/>
        </w:rPr>
        <w:t xml:space="preserve">, אבל </w:t>
      </w:r>
      <w:proofErr w:type="spellStart"/>
      <w:r>
        <w:rPr>
          <w:rFonts w:hint="cs"/>
          <w:rtl/>
        </w:rPr>
        <w:t>כשמעיינין</w:t>
      </w:r>
      <w:proofErr w:type="spellEnd"/>
      <w:r>
        <w:rPr>
          <w:rFonts w:hint="cs"/>
          <w:rtl/>
        </w:rPr>
        <w:t xml:space="preserve"> איכא חילוק. </w:t>
      </w:r>
      <w:proofErr w:type="spellStart"/>
      <w:r>
        <w:rPr>
          <w:rFonts w:hint="cs"/>
          <w:rtl/>
        </w:rPr>
        <w:t>דבהא</w:t>
      </w:r>
      <w:proofErr w:type="spellEnd"/>
      <w:r>
        <w:rPr>
          <w:rFonts w:hint="cs"/>
          <w:rtl/>
        </w:rPr>
        <w:t xml:space="preserve"> </w:t>
      </w:r>
      <w:proofErr w:type="spellStart"/>
      <w:r>
        <w:rPr>
          <w:rFonts w:hint="cs"/>
          <w:rtl/>
        </w:rPr>
        <w:t>דתמיכת</w:t>
      </w:r>
      <w:proofErr w:type="spellEnd"/>
      <w:r>
        <w:rPr>
          <w:rFonts w:hint="cs"/>
          <w:rtl/>
        </w:rPr>
        <w:t xml:space="preserve"> המדינה, מה שלא היו נותנים כשהיה הזקן העני שם זמן מועט כיום ויומיים, הוא משום שתמיכתם זו </w:t>
      </w:r>
      <w:proofErr w:type="spellStart"/>
      <w:r>
        <w:rPr>
          <w:rFonts w:hint="cs"/>
          <w:rtl/>
        </w:rPr>
        <w:t>היתה</w:t>
      </w:r>
      <w:proofErr w:type="spellEnd"/>
      <w:r>
        <w:rPr>
          <w:rFonts w:hint="cs"/>
          <w:rtl/>
        </w:rPr>
        <w:t xml:space="preserve"> רק סך קטן שבעל המושב זקנים היה מקבלה אף בלא תמיכתם, אף בשביל סך הקטן שהיה נותן לו הזקן בעצמו או קרוביו ומכיריו, ואולי גם היה בעל המושב זקנים מחזיקו שם בחינם בשביל שם טוב. ורק </w:t>
      </w:r>
      <w:proofErr w:type="spellStart"/>
      <w:r>
        <w:rPr>
          <w:rFonts w:hint="cs"/>
          <w:rtl/>
        </w:rPr>
        <w:t>כשאיכא</w:t>
      </w:r>
      <w:proofErr w:type="spellEnd"/>
      <w:r>
        <w:rPr>
          <w:rFonts w:hint="cs"/>
          <w:rtl/>
        </w:rPr>
        <w:t xml:space="preserve"> זמן גדול שהוא סך גדול, שא"א לבעל מושב זקנים לקבלו בדרך אחרת, משלמת לו המדינה. ונמצא שאין זה מצד ריבוי הימים, אלא מצד ריבוי ההוצאה. שלכן אין תמיכתן נחשבת על הימים, </w:t>
      </w:r>
      <w:proofErr w:type="spellStart"/>
      <w:r>
        <w:rPr>
          <w:rFonts w:hint="cs"/>
          <w:rtl/>
        </w:rPr>
        <w:t>דהימים</w:t>
      </w:r>
      <w:proofErr w:type="spellEnd"/>
      <w:r>
        <w:rPr>
          <w:rFonts w:hint="cs"/>
          <w:rtl/>
        </w:rPr>
        <w:t xml:space="preserve"> הם רק גורמים לריבוי ההוצאה </w:t>
      </w:r>
      <w:proofErr w:type="spellStart"/>
      <w:r>
        <w:rPr>
          <w:rFonts w:hint="cs"/>
          <w:rtl/>
        </w:rPr>
        <w:t>עי"ז</w:t>
      </w:r>
      <w:proofErr w:type="spellEnd"/>
      <w:r>
        <w:rPr>
          <w:rFonts w:hint="cs"/>
          <w:rtl/>
        </w:rPr>
        <w:t xml:space="preserve">. והרי ודאי אף ביום אחד שהוא הוצאה גדולה, כגון שהיה חולה והוצרכו לעשות לו ניתוח שעלה זה סך גדול, ישלמו זה מהמדינה. שלכן אף סתם ההוצאה מה שאין </w:t>
      </w:r>
      <w:proofErr w:type="spellStart"/>
      <w:r>
        <w:rPr>
          <w:rFonts w:hint="cs"/>
          <w:rtl/>
        </w:rPr>
        <w:t>משלמין</w:t>
      </w:r>
      <w:proofErr w:type="spellEnd"/>
      <w:r>
        <w:rPr>
          <w:rFonts w:hint="cs"/>
          <w:rtl/>
        </w:rPr>
        <w:t xml:space="preserve"> מהמדינה לזמן קצר, הוא משום </w:t>
      </w:r>
      <w:proofErr w:type="spellStart"/>
      <w:r>
        <w:rPr>
          <w:rFonts w:hint="cs"/>
          <w:rtl/>
        </w:rPr>
        <w:t>דבהוצאה</w:t>
      </w:r>
      <w:proofErr w:type="spellEnd"/>
      <w:r>
        <w:rPr>
          <w:rFonts w:hint="cs"/>
          <w:rtl/>
        </w:rPr>
        <w:t xml:space="preserve"> קטנה אין רוצים לתמוך, משום </w:t>
      </w:r>
      <w:proofErr w:type="spellStart"/>
      <w:r>
        <w:rPr>
          <w:rFonts w:hint="cs"/>
          <w:rtl/>
        </w:rPr>
        <w:t>דרוצין</w:t>
      </w:r>
      <w:proofErr w:type="spellEnd"/>
      <w:r>
        <w:rPr>
          <w:rFonts w:hint="cs"/>
          <w:rtl/>
        </w:rPr>
        <w:t xml:space="preserve"> </w:t>
      </w:r>
      <w:proofErr w:type="spellStart"/>
      <w:r>
        <w:rPr>
          <w:rFonts w:hint="cs"/>
          <w:rtl/>
        </w:rPr>
        <w:t>וסומכין</w:t>
      </w:r>
      <w:proofErr w:type="spellEnd"/>
      <w:r>
        <w:rPr>
          <w:rFonts w:hint="cs"/>
          <w:rtl/>
        </w:rPr>
        <w:t xml:space="preserve"> שבעל המושב זקנים יקבלהו גם בלא תמיכתם. ולכן אף שאח"כ כשהתחילו לתמוך מחשבין לפי הימים, הוא </w:t>
      </w:r>
      <w:proofErr w:type="spellStart"/>
      <w:r>
        <w:rPr>
          <w:rFonts w:hint="cs"/>
          <w:rtl/>
        </w:rPr>
        <w:t>חושבנא</w:t>
      </w:r>
      <w:proofErr w:type="spellEnd"/>
      <w:r>
        <w:rPr>
          <w:rFonts w:hint="cs"/>
          <w:rtl/>
        </w:rPr>
        <w:t xml:space="preserve"> בעלמא.  </w:t>
      </w:r>
    </w:p>
    <w:p w14:paraId="36F0C252" w14:textId="77777777" w:rsidR="001936CE" w:rsidRDefault="001936CE" w:rsidP="001936CE">
      <w:pPr>
        <w:rPr>
          <w:rtl/>
        </w:rPr>
      </w:pPr>
      <w:r>
        <w:rPr>
          <w:rFonts w:hint="cs"/>
          <w:rtl/>
        </w:rPr>
        <w:t xml:space="preserve">  אבל ענין הריבית </w:t>
      </w:r>
      <w:proofErr w:type="spellStart"/>
      <w:r>
        <w:rPr>
          <w:rFonts w:hint="cs"/>
          <w:rtl/>
        </w:rPr>
        <w:t>דהבאנק</w:t>
      </w:r>
      <w:proofErr w:type="spellEnd"/>
      <w:r>
        <w:rPr>
          <w:rFonts w:hint="cs"/>
          <w:rtl/>
        </w:rPr>
        <w:t xml:space="preserve">, הא הוא ודאי על כל יום ויום ששייך להרוויח בהם. ומה שלא היו </w:t>
      </w:r>
      <w:proofErr w:type="spellStart"/>
      <w:r>
        <w:rPr>
          <w:rFonts w:hint="cs"/>
          <w:rtl/>
        </w:rPr>
        <w:t>מקבלין</w:t>
      </w:r>
      <w:proofErr w:type="spellEnd"/>
      <w:r>
        <w:rPr>
          <w:rFonts w:hint="cs"/>
          <w:rtl/>
        </w:rPr>
        <w:t xml:space="preserve"> כשהיה רק על זמן קצר כיום ויומיים, הוא משום שאין רוצים לטרוח בעד שכר מועט, ולפעמים הוא גם הפסד, </w:t>
      </w:r>
      <w:proofErr w:type="spellStart"/>
      <w:r>
        <w:rPr>
          <w:rFonts w:hint="cs"/>
          <w:rtl/>
        </w:rPr>
        <w:t>דטיפול</w:t>
      </w:r>
      <w:proofErr w:type="spellEnd"/>
      <w:r>
        <w:rPr>
          <w:rFonts w:hint="cs"/>
          <w:rtl/>
        </w:rPr>
        <w:t xml:space="preserve"> העובדים שם יעלה שכרם יותר מרווח הריבית שיהיה בעד היום. אבל עכ"פ </w:t>
      </w:r>
      <w:proofErr w:type="spellStart"/>
      <w:r>
        <w:rPr>
          <w:rFonts w:hint="cs"/>
          <w:rtl/>
        </w:rPr>
        <w:t>בהונח</w:t>
      </w:r>
      <w:proofErr w:type="spellEnd"/>
      <w:r>
        <w:rPr>
          <w:rFonts w:hint="cs"/>
          <w:rtl/>
        </w:rPr>
        <w:t xml:space="preserve"> הכסף </w:t>
      </w:r>
      <w:proofErr w:type="spellStart"/>
      <w:r>
        <w:rPr>
          <w:rFonts w:hint="cs"/>
          <w:rtl/>
        </w:rPr>
        <w:t>בבאנק</w:t>
      </w:r>
      <w:proofErr w:type="spellEnd"/>
      <w:r>
        <w:rPr>
          <w:rFonts w:hint="cs"/>
          <w:rtl/>
        </w:rPr>
        <w:t xml:space="preserve"> </w:t>
      </w:r>
      <w:proofErr w:type="spellStart"/>
      <w:r>
        <w:rPr>
          <w:rFonts w:hint="cs"/>
          <w:rtl/>
        </w:rPr>
        <w:t>סתמא</w:t>
      </w:r>
      <w:proofErr w:type="spellEnd"/>
      <w:r>
        <w:rPr>
          <w:rFonts w:hint="cs"/>
          <w:rtl/>
        </w:rPr>
        <w:t xml:space="preserve">, ואף בפירוש על ימים רבים, הוא בעצם ובהכרח </w:t>
      </w:r>
      <w:proofErr w:type="spellStart"/>
      <w:r>
        <w:rPr>
          <w:rFonts w:hint="cs"/>
          <w:rtl/>
        </w:rPr>
        <w:t>כפ"מ</w:t>
      </w:r>
      <w:proofErr w:type="spellEnd"/>
      <w:r>
        <w:rPr>
          <w:rFonts w:hint="cs"/>
          <w:rtl/>
        </w:rPr>
        <w:t xml:space="preserve"> שדרכם לשלם, שהוא עכשיו לפי סך הימים שיהיו המעות </w:t>
      </w:r>
      <w:proofErr w:type="spellStart"/>
      <w:r>
        <w:rPr>
          <w:rFonts w:hint="cs"/>
          <w:rtl/>
        </w:rPr>
        <w:t>בהבאנק</w:t>
      </w:r>
      <w:proofErr w:type="spellEnd"/>
      <w:r>
        <w:rPr>
          <w:rFonts w:hint="cs"/>
          <w:rtl/>
        </w:rPr>
        <w:t xml:space="preserve">, שהוא לכל יום ויום, אף כשאין לו רשות </w:t>
      </w:r>
      <w:proofErr w:type="spellStart"/>
      <w:r>
        <w:rPr>
          <w:rFonts w:hint="cs"/>
          <w:rtl/>
        </w:rPr>
        <w:t>ליקח</w:t>
      </w:r>
      <w:proofErr w:type="spellEnd"/>
      <w:r>
        <w:rPr>
          <w:rFonts w:hint="cs"/>
          <w:rtl/>
        </w:rPr>
        <w:t xml:space="preserve"> משם המעות, וכ"ש ביש לו רשות </w:t>
      </w:r>
      <w:proofErr w:type="spellStart"/>
      <w:r>
        <w:rPr>
          <w:rFonts w:hint="cs"/>
          <w:rtl/>
        </w:rPr>
        <w:t>ליקח</w:t>
      </w:r>
      <w:proofErr w:type="spellEnd"/>
      <w:r>
        <w:rPr>
          <w:rFonts w:hint="cs"/>
          <w:rtl/>
        </w:rPr>
        <w:t xml:space="preserve"> משם. </w:t>
      </w:r>
      <w:proofErr w:type="spellStart"/>
      <w:r>
        <w:rPr>
          <w:rFonts w:hint="cs"/>
          <w:rtl/>
        </w:rPr>
        <w:t>דלכן</w:t>
      </w:r>
      <w:proofErr w:type="spellEnd"/>
      <w:r>
        <w:rPr>
          <w:rFonts w:hint="cs"/>
          <w:rtl/>
        </w:rPr>
        <w:t xml:space="preserve"> נמצא שלימי שבת ויו"ט הוא כשכר שבת, </w:t>
      </w:r>
      <w:proofErr w:type="spellStart"/>
      <w:r>
        <w:rPr>
          <w:rFonts w:hint="cs"/>
          <w:rtl/>
        </w:rPr>
        <w:t>שהוצרכתי</w:t>
      </w:r>
      <w:proofErr w:type="spellEnd"/>
      <w:r>
        <w:rPr>
          <w:rFonts w:hint="cs"/>
          <w:rtl/>
        </w:rPr>
        <w:t xml:space="preserve"> להתיר רק מחמת </w:t>
      </w:r>
      <w:proofErr w:type="spellStart"/>
      <w:r>
        <w:rPr>
          <w:rFonts w:hint="cs"/>
          <w:rtl/>
        </w:rPr>
        <w:t>דחושבין</w:t>
      </w:r>
      <w:proofErr w:type="spellEnd"/>
      <w:r>
        <w:rPr>
          <w:rFonts w:hint="cs"/>
          <w:rtl/>
        </w:rPr>
        <w:t xml:space="preserve"> </w:t>
      </w:r>
      <w:proofErr w:type="spellStart"/>
      <w:r>
        <w:rPr>
          <w:rFonts w:hint="cs"/>
          <w:rtl/>
        </w:rPr>
        <w:t>התשלומין</w:t>
      </w:r>
      <w:proofErr w:type="spellEnd"/>
      <w:r>
        <w:rPr>
          <w:rFonts w:hint="cs"/>
          <w:rtl/>
        </w:rPr>
        <w:t xml:space="preserve"> ליום המדינה שמתחיל מחצות הלילה, </w:t>
      </w:r>
      <w:proofErr w:type="spellStart"/>
      <w:r>
        <w:rPr>
          <w:rFonts w:hint="cs"/>
          <w:rtl/>
        </w:rPr>
        <w:t>והויא</w:t>
      </w:r>
      <w:proofErr w:type="spellEnd"/>
      <w:r>
        <w:rPr>
          <w:rFonts w:hint="cs"/>
          <w:rtl/>
        </w:rPr>
        <w:t xml:space="preserve"> בהבלעה מצד שעות </w:t>
      </w:r>
      <w:proofErr w:type="spellStart"/>
      <w:r>
        <w:rPr>
          <w:rFonts w:hint="cs"/>
          <w:rtl/>
        </w:rPr>
        <w:t>דחול</w:t>
      </w:r>
      <w:proofErr w:type="spellEnd"/>
      <w:r>
        <w:rPr>
          <w:rFonts w:hint="cs"/>
          <w:rtl/>
        </w:rPr>
        <w:t xml:space="preserve"> </w:t>
      </w:r>
      <w:proofErr w:type="spellStart"/>
      <w:r>
        <w:rPr>
          <w:rFonts w:hint="cs"/>
          <w:rtl/>
        </w:rPr>
        <w:t>דמוצ"ש</w:t>
      </w:r>
      <w:proofErr w:type="spellEnd"/>
      <w:r>
        <w:rPr>
          <w:rFonts w:hint="cs"/>
          <w:rtl/>
        </w:rPr>
        <w:t xml:space="preserve"> עד חצות. </w:t>
      </w:r>
      <w:proofErr w:type="spellStart"/>
      <w:r>
        <w:rPr>
          <w:rFonts w:hint="cs"/>
          <w:rtl/>
        </w:rPr>
        <w:t>דלכן</w:t>
      </w:r>
      <w:proofErr w:type="spellEnd"/>
      <w:r>
        <w:rPr>
          <w:rFonts w:hint="cs"/>
          <w:rtl/>
        </w:rPr>
        <w:t xml:space="preserve"> בשבת ויו"ט </w:t>
      </w:r>
      <w:proofErr w:type="spellStart"/>
      <w:r>
        <w:rPr>
          <w:rFonts w:hint="cs"/>
          <w:rtl/>
        </w:rPr>
        <w:t>סמוכין</w:t>
      </w:r>
      <w:proofErr w:type="spellEnd"/>
      <w:r>
        <w:rPr>
          <w:rFonts w:hint="cs"/>
          <w:rtl/>
        </w:rPr>
        <w:t xml:space="preserve">, יש לאסור מליטול בעד יום הראשון </w:t>
      </w:r>
      <w:proofErr w:type="spellStart"/>
      <w:r>
        <w:rPr>
          <w:rFonts w:hint="cs"/>
          <w:rtl/>
        </w:rPr>
        <w:t>כדכתבתי</w:t>
      </w:r>
      <w:proofErr w:type="spellEnd"/>
      <w:r>
        <w:rPr>
          <w:rFonts w:hint="cs"/>
          <w:rtl/>
        </w:rPr>
        <w:t xml:space="preserve"> שם. וגם יש עוד טעם להתיר במושב זקנים, שכל המלאכות </w:t>
      </w:r>
      <w:proofErr w:type="spellStart"/>
      <w:r>
        <w:rPr>
          <w:rFonts w:hint="cs"/>
          <w:rtl/>
        </w:rPr>
        <w:t>שצריכין</w:t>
      </w:r>
      <w:proofErr w:type="spellEnd"/>
      <w:r>
        <w:rPr>
          <w:rFonts w:hint="cs"/>
          <w:rtl/>
        </w:rPr>
        <w:t xml:space="preserve"> לעשות להאכילה, אף ההבאה מן השוק, הוא רק בששת ימי החול. וכמובן אף אם יזדמן שלא יוכל לאכול, הרי </w:t>
      </w:r>
      <w:proofErr w:type="spellStart"/>
      <w:r>
        <w:rPr>
          <w:rFonts w:hint="cs"/>
          <w:rtl/>
        </w:rPr>
        <w:t>צריכין</w:t>
      </w:r>
      <w:proofErr w:type="spellEnd"/>
      <w:r>
        <w:rPr>
          <w:rFonts w:hint="cs"/>
          <w:rtl/>
        </w:rPr>
        <w:t xml:space="preserve"> המדינה לשלם מאחר שהוכן לפניו. ונמצא שהמעות הם </w:t>
      </w:r>
      <w:proofErr w:type="spellStart"/>
      <w:r>
        <w:rPr>
          <w:rFonts w:hint="cs"/>
          <w:rtl/>
        </w:rPr>
        <w:t>צריכין</w:t>
      </w:r>
      <w:proofErr w:type="spellEnd"/>
      <w:r>
        <w:rPr>
          <w:rFonts w:hint="cs"/>
          <w:rtl/>
        </w:rPr>
        <w:t xml:space="preserve"> לשלם בעד ששת ימי החול, </w:t>
      </w:r>
      <w:proofErr w:type="spellStart"/>
      <w:r>
        <w:rPr>
          <w:rFonts w:hint="cs"/>
          <w:rtl/>
        </w:rPr>
        <w:t>להמזונות</w:t>
      </w:r>
      <w:proofErr w:type="spellEnd"/>
      <w:r>
        <w:rPr>
          <w:rFonts w:hint="cs"/>
          <w:rtl/>
        </w:rPr>
        <w:t xml:space="preserve"> שהיו </w:t>
      </w:r>
      <w:proofErr w:type="spellStart"/>
      <w:r>
        <w:rPr>
          <w:rFonts w:hint="cs"/>
          <w:rtl/>
        </w:rPr>
        <w:t>מתקלקלין</w:t>
      </w:r>
      <w:proofErr w:type="spellEnd"/>
      <w:r>
        <w:rPr>
          <w:rFonts w:hint="cs"/>
          <w:rtl/>
        </w:rPr>
        <w:t xml:space="preserve">. ואף </w:t>
      </w:r>
      <w:proofErr w:type="spellStart"/>
      <w:r>
        <w:rPr>
          <w:rFonts w:hint="cs"/>
          <w:rtl/>
        </w:rPr>
        <w:t>שאיכא</w:t>
      </w:r>
      <w:proofErr w:type="spellEnd"/>
      <w:r>
        <w:rPr>
          <w:rFonts w:hint="cs"/>
          <w:rtl/>
        </w:rPr>
        <w:t xml:space="preserve"> גם מזונות שלא </w:t>
      </w:r>
      <w:proofErr w:type="spellStart"/>
      <w:r>
        <w:rPr>
          <w:rFonts w:hint="cs"/>
          <w:rtl/>
        </w:rPr>
        <w:t>מתקלקלין</w:t>
      </w:r>
      <w:proofErr w:type="spellEnd"/>
      <w:r>
        <w:rPr>
          <w:rFonts w:hint="cs"/>
          <w:rtl/>
        </w:rPr>
        <w:t xml:space="preserve">, שהחיוב </w:t>
      </w:r>
      <w:proofErr w:type="spellStart"/>
      <w:r>
        <w:rPr>
          <w:rFonts w:hint="cs"/>
          <w:rtl/>
        </w:rPr>
        <w:t>עלייהו</w:t>
      </w:r>
      <w:proofErr w:type="spellEnd"/>
      <w:r>
        <w:rPr>
          <w:rFonts w:hint="cs"/>
          <w:rtl/>
        </w:rPr>
        <w:t xml:space="preserve"> רק כשאוכלם בשבת, הרי איכא הבלעה. אך אין צורך לזה </w:t>
      </w:r>
      <w:proofErr w:type="spellStart"/>
      <w:r>
        <w:rPr>
          <w:rFonts w:hint="cs"/>
          <w:rtl/>
        </w:rPr>
        <w:t>דטעם</w:t>
      </w:r>
      <w:proofErr w:type="spellEnd"/>
      <w:r>
        <w:rPr>
          <w:rFonts w:hint="cs"/>
          <w:rtl/>
        </w:rPr>
        <w:t xml:space="preserve"> הראשון הוא טעם נכון.  </w:t>
      </w:r>
    </w:p>
    <w:p w14:paraId="4D5B9755" w14:textId="77777777" w:rsidR="001936CE" w:rsidRDefault="001936CE" w:rsidP="001936CE">
      <w:pPr>
        <w:rPr>
          <w:rtl/>
        </w:rPr>
      </w:pPr>
      <w:r>
        <w:rPr>
          <w:rFonts w:hint="cs"/>
          <w:rtl/>
        </w:rPr>
        <w:lastRenderedPageBreak/>
        <w:t xml:space="preserve">  והנני ידידו ואוהבו </w:t>
      </w:r>
      <w:proofErr w:type="spellStart"/>
      <w:r>
        <w:rPr>
          <w:rFonts w:hint="cs"/>
          <w:rtl/>
        </w:rPr>
        <w:t>בלו"נ</w:t>
      </w:r>
      <w:proofErr w:type="spellEnd"/>
      <w:r>
        <w:rPr>
          <w:rFonts w:hint="cs"/>
          <w:rtl/>
        </w:rPr>
        <w:t xml:space="preserve">, מוקירו מחותנו, משה </w:t>
      </w:r>
      <w:proofErr w:type="spellStart"/>
      <w:r>
        <w:rPr>
          <w:rFonts w:hint="cs"/>
          <w:rtl/>
        </w:rPr>
        <w:t>פיינשטיין</w:t>
      </w:r>
      <w:proofErr w:type="spellEnd"/>
      <w:r>
        <w:rPr>
          <w:rFonts w:hint="cs"/>
          <w:rtl/>
        </w:rPr>
        <w:t>.</w:t>
      </w:r>
    </w:p>
    <w:p w14:paraId="1A509FB3" w14:textId="37DEB4AE" w:rsidR="000C25FD" w:rsidRDefault="004E4E82" w:rsidP="004E4E82">
      <w:pPr>
        <w:pStyle w:val="Heading1"/>
        <w:rPr>
          <w:rtl/>
        </w:rPr>
      </w:pPr>
      <w:r>
        <w:rPr>
          <w:rFonts w:hint="cs"/>
          <w:rtl/>
        </w:rPr>
        <w:t xml:space="preserve">ריבית </w:t>
      </w:r>
      <w:r>
        <w:rPr>
          <w:rtl/>
        </w:rPr>
        <w:t>–</w:t>
      </w:r>
      <w:r>
        <w:rPr>
          <w:rFonts w:hint="cs"/>
          <w:rtl/>
        </w:rPr>
        <w:t xml:space="preserve"> </w:t>
      </w:r>
      <w:r w:rsidR="003706CC">
        <w:rPr>
          <w:rFonts w:hint="cs"/>
          <w:rtl/>
        </w:rPr>
        <w:t>דרבנן</w:t>
      </w:r>
      <w:bookmarkStart w:id="4" w:name="_GoBack"/>
      <w:bookmarkEnd w:id="4"/>
    </w:p>
    <w:p w14:paraId="0E1867B1" w14:textId="337546A2" w:rsidR="004E4E82" w:rsidRDefault="004E4E82" w:rsidP="004E4E82">
      <w:pPr>
        <w:pStyle w:val="Heading2"/>
        <w:rPr>
          <w:rtl/>
        </w:rPr>
      </w:pPr>
      <w:r>
        <w:rPr>
          <w:rFonts w:hint="cs"/>
          <w:rtl/>
        </w:rPr>
        <w:t>אור הישר</w:t>
      </w:r>
      <w:r w:rsidR="00CD12BA">
        <w:rPr>
          <w:rFonts w:hint="cs"/>
          <w:rtl/>
        </w:rPr>
        <w:t xml:space="preserve"> </w:t>
      </w:r>
      <w:r w:rsidR="000E745E">
        <w:rPr>
          <w:rFonts w:hint="cs"/>
          <w:rtl/>
        </w:rPr>
        <w:t>תנ"ך זרעים מועד עמ' ב</w:t>
      </w:r>
    </w:p>
    <w:p w14:paraId="39CA3A53" w14:textId="3FF1E402" w:rsidR="004E4E82" w:rsidRPr="004E4E82" w:rsidRDefault="004E4E82" w:rsidP="004E4E82">
      <w:r w:rsidRPr="004E4E82">
        <w:drawing>
          <wp:inline distT="0" distB="0" distL="0" distR="0" wp14:anchorId="3DC4F446" wp14:editId="3CFF0861">
            <wp:extent cx="3560102" cy="6509442"/>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65431" cy="6519187"/>
                    </a:xfrm>
                    <a:prstGeom prst="rect">
                      <a:avLst/>
                    </a:prstGeom>
                  </pic:spPr>
                </pic:pic>
              </a:graphicData>
            </a:graphic>
          </wp:inline>
        </w:drawing>
      </w:r>
    </w:p>
    <w:sectPr w:rsidR="004E4E82" w:rsidRPr="004E4E8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50B80" w14:textId="77777777" w:rsidR="008132CA" w:rsidRDefault="008132CA" w:rsidP="009F4441">
      <w:pPr>
        <w:spacing w:after="0" w:line="240" w:lineRule="auto"/>
      </w:pPr>
      <w:r>
        <w:separator/>
      </w:r>
    </w:p>
  </w:endnote>
  <w:endnote w:type="continuationSeparator" w:id="0">
    <w:p w14:paraId="1C214712" w14:textId="77777777" w:rsidR="008132CA" w:rsidRDefault="008132CA"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0625B"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7F421" w14:textId="77777777" w:rsidR="008132CA" w:rsidRDefault="008132CA" w:rsidP="009F4441">
      <w:pPr>
        <w:spacing w:after="0" w:line="240" w:lineRule="auto"/>
      </w:pPr>
      <w:r>
        <w:separator/>
      </w:r>
    </w:p>
  </w:footnote>
  <w:footnote w:type="continuationSeparator" w:id="0">
    <w:p w14:paraId="481A27D2" w14:textId="77777777" w:rsidR="008132CA" w:rsidRDefault="008132CA" w:rsidP="009F4441">
      <w:pPr>
        <w:spacing w:after="0" w:line="240" w:lineRule="auto"/>
      </w:pPr>
      <w:r>
        <w:continuationSeparator/>
      </w:r>
    </w:p>
  </w:footnote>
  <w:footnote w:id="1">
    <w:p w14:paraId="3F7E33CB" w14:textId="77777777" w:rsidR="00055916" w:rsidRDefault="00055916" w:rsidP="00055916">
      <w:pPr>
        <w:pStyle w:val="FootnoteText"/>
        <w:rPr>
          <w:rtl/>
        </w:rPr>
      </w:pPr>
      <w:r>
        <w:rPr>
          <w:rStyle w:val="FootnoteReference"/>
        </w:rPr>
        <w:footnoteRef/>
      </w:r>
      <w:r>
        <w:rPr>
          <w:rtl/>
        </w:rPr>
        <w:t xml:space="preserve"> </w:t>
      </w:r>
      <w:r>
        <w:rPr>
          <w:rFonts w:hint="cs"/>
          <w:rtl/>
        </w:rPr>
        <w:t xml:space="preserve">ע"ע בהערות </w:t>
      </w:r>
      <w:proofErr w:type="spellStart"/>
      <w:r>
        <w:rPr>
          <w:rFonts w:hint="cs"/>
          <w:rtl/>
        </w:rPr>
        <w:t>לריטב"א</w:t>
      </w:r>
      <w:proofErr w:type="spellEnd"/>
      <w:r>
        <w:rPr>
          <w:rFonts w:hint="cs"/>
          <w:rtl/>
        </w:rPr>
        <w:t xml:space="preserve"> מהדורת מוסד הרב קוק קידושין ו: הערה 479, ובמאמרו של הרב דניאל צבי </w:t>
      </w:r>
      <w:proofErr w:type="spellStart"/>
      <w:r>
        <w:rPr>
          <w:rFonts w:hint="cs"/>
          <w:rtl/>
        </w:rPr>
        <w:t>פלדמאן</w:t>
      </w:r>
      <w:proofErr w:type="spellEnd"/>
      <w:r>
        <w:rPr>
          <w:rFonts w:hint="cs"/>
          <w:rtl/>
        </w:rPr>
        <w:t xml:space="preserve"> ב</w:t>
      </w:r>
      <w:r>
        <w:t xml:space="preserve"> The Oxford Handbook of Judaism and Economics</w:t>
      </w:r>
      <w:r>
        <w:rPr>
          <w:rFonts w:hint="cs"/>
          <w:rtl/>
        </w:rPr>
        <w:t>עמ' 249 (</w:t>
      </w:r>
      <w:hyperlink r:id="rId1" w:anchor="v=onepage&amp;q=ritva%20returning%20ribbit&amp;f=false" w:history="1">
        <w:r>
          <w:rPr>
            <w:rStyle w:val="Hyperlink"/>
            <w:rFonts w:hint="cs"/>
            <w:rtl/>
          </w:rPr>
          <w:t>קישור</w:t>
        </w:r>
      </w:hyperlink>
      <w:r>
        <w:rPr>
          <w:rFonts w:hint="cs"/>
          <w:rtl/>
        </w:rPr>
        <w:t xml:space="preserve">) [א"ה ע"ש שבטעות ציינו רמב"ם הלכות מתנות עניים ד:יג במקום </w:t>
      </w:r>
      <w:proofErr w:type="spellStart"/>
      <w:r>
        <w:rPr>
          <w:rFonts w:hint="cs"/>
          <w:rtl/>
        </w:rPr>
        <w:t>מלוה</w:t>
      </w:r>
      <w:proofErr w:type="spellEnd"/>
      <w:r>
        <w:rPr>
          <w:rFonts w:hint="cs"/>
          <w:rtl/>
        </w:rPr>
        <w:t xml:space="preserve"> </w:t>
      </w:r>
      <w:proofErr w:type="spellStart"/>
      <w:r>
        <w:rPr>
          <w:rFonts w:hint="cs"/>
          <w:rtl/>
        </w:rPr>
        <w:t>לוה</w:t>
      </w:r>
      <w:proofErr w:type="spellEnd"/>
      <w:r>
        <w:rPr>
          <w:rFonts w:hint="cs"/>
          <w:rtl/>
        </w:rPr>
        <w:t xml:space="preserve"> ד:יג] ובמאמר מישיבת הר עציון (</w:t>
      </w:r>
      <w:hyperlink r:id="rId2" w:history="1">
        <w:r>
          <w:rPr>
            <w:rStyle w:val="Hyperlink"/>
            <w:rFonts w:hint="cs"/>
            <w:rtl/>
          </w:rPr>
          <w:t>קישור</w:t>
        </w:r>
      </w:hyperlink>
      <w:r>
        <w:rPr>
          <w:rFonts w:hint="cs"/>
          <w:rtl/>
        </w:rPr>
        <w:t>)</w:t>
      </w:r>
    </w:p>
  </w:footnote>
  <w:footnote w:id="2">
    <w:p w14:paraId="76978207" w14:textId="77777777" w:rsidR="00055916" w:rsidRDefault="00055916" w:rsidP="00055916">
      <w:pPr>
        <w:pStyle w:val="FootnoteText"/>
      </w:pPr>
      <w:r>
        <w:rPr>
          <w:rStyle w:val="FootnoteReference"/>
        </w:rPr>
        <w:footnoteRef/>
      </w:r>
      <w:r>
        <w:rPr>
          <w:rtl/>
        </w:rPr>
        <w:t xml:space="preserve"> </w:t>
      </w:r>
      <w:r>
        <w:rPr>
          <w:rFonts w:hint="cs"/>
          <w:rtl/>
        </w:rPr>
        <w:t xml:space="preserve">ע"ע </w:t>
      </w:r>
      <w:proofErr w:type="spellStart"/>
      <w:r>
        <w:rPr>
          <w:rFonts w:hint="cs"/>
          <w:rtl/>
        </w:rPr>
        <w:t>בשו"ת</w:t>
      </w:r>
      <w:proofErr w:type="spellEnd"/>
      <w:r>
        <w:rPr>
          <w:rFonts w:hint="cs"/>
          <w:rtl/>
        </w:rPr>
        <w:t xml:space="preserve"> לב אריה ח"א סימן טו אות א ד"ה ואדמו"ר (</w:t>
      </w:r>
      <w:hyperlink r:id="rId3" w:history="1">
        <w:r>
          <w:rPr>
            <w:rStyle w:val="Hyperlink"/>
            <w:rFonts w:hint="cs"/>
            <w:rtl/>
          </w:rPr>
          <w:t>קישור</w:t>
        </w:r>
      </w:hyperlink>
      <w:r>
        <w:rPr>
          <w:rFonts w:hint="cs"/>
          <w:rtl/>
        </w:rPr>
        <w:t>), צוין במאמרו של הרב לוין הנ"ל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862B6" w14:textId="77777777" w:rsidR="00E019E9" w:rsidRDefault="009F4441" w:rsidP="000D7D13">
    <w:pPr>
      <w:spacing w:after="0" w:line="240" w:lineRule="auto"/>
      <w:jc w:val="center"/>
      <w:rPr>
        <w:rtl/>
      </w:rPr>
    </w:pPr>
    <w:r w:rsidRPr="00C52284">
      <w:rPr>
        <w:rtl/>
      </w:rPr>
      <w:t>הרב צבי שכטר</w:t>
    </w:r>
    <w:r w:rsidR="00E019E9">
      <w:tab/>
    </w:r>
    <w:r w:rsidR="000D7D13">
      <w:rPr>
        <w:rtl/>
      </w:rPr>
      <w:tab/>
    </w:r>
    <w:r w:rsidR="000D7D13">
      <w:rPr>
        <w:rtl/>
      </w:rPr>
      <w:tab/>
    </w:r>
    <w:r w:rsidR="000D7D13">
      <w:rPr>
        <w:rtl/>
      </w:rPr>
      <w:tab/>
    </w:r>
    <w:r w:rsidR="00E019E9">
      <w:tab/>
    </w:r>
    <w:r w:rsidRPr="00C52284">
      <w:tab/>
    </w:r>
    <w:r w:rsidRPr="00C52284">
      <w:rPr>
        <w:rtl/>
      </w:rPr>
      <w:tab/>
    </w:r>
    <w:r w:rsidRPr="00C52284">
      <w:tab/>
    </w:r>
    <w:r w:rsidRPr="00C52284">
      <w:rPr>
        <w:rtl/>
      </w:rPr>
      <w:tab/>
    </w:r>
    <w:r>
      <w:rPr>
        <w:rtl/>
      </w:rPr>
      <w:tab/>
    </w:r>
    <w:r w:rsidRPr="00C52284">
      <w:rPr>
        <w:rtl/>
      </w:rPr>
      <w:t xml:space="preserve"> </w:t>
    </w:r>
    <w:r w:rsidR="008132CA">
      <w:rPr>
        <w:rFonts w:hint="cs"/>
        <w:rtl/>
      </w:rPr>
      <w:t xml:space="preserve">    עניינים שונים</w:t>
    </w:r>
  </w:p>
  <w:p w14:paraId="1CEFD1DC" w14:textId="77777777" w:rsidR="00E019E9" w:rsidRPr="009F4441" w:rsidRDefault="008132CA" w:rsidP="000D7D13">
    <w:pPr>
      <w:spacing w:after="0" w:line="240" w:lineRule="auto"/>
    </w:pPr>
    <w:r w:rsidRPr="008132CA">
      <w:rPr>
        <w:rtl/>
      </w:rPr>
      <w:t>‏‏‏כ"ג אייר תשע"ח</w:t>
    </w:r>
    <w:r w:rsidRPr="008132CA">
      <w:rPr>
        <w:rtl/>
      </w:rPr>
      <w:tab/>
    </w:r>
    <w:r w:rsidR="000D7D13">
      <w:rPr>
        <w:rtl/>
      </w:rPr>
      <w:tab/>
    </w:r>
    <w:r w:rsidR="00E019E9">
      <w:rPr>
        <w:rtl/>
      </w:rPr>
      <w:tab/>
    </w:r>
    <w:r w:rsidR="00E019E9">
      <w:rPr>
        <w:rtl/>
      </w:rPr>
      <w:tab/>
    </w:r>
    <w:r w:rsidR="00E019E9">
      <w:rPr>
        <w:rtl/>
      </w:rPr>
      <w:tab/>
    </w:r>
    <w:r w:rsidR="00E019E9">
      <w:rPr>
        <w:rtl/>
      </w:rPr>
      <w:tab/>
    </w:r>
    <w:r w:rsidR="00E019E9">
      <w:rPr>
        <w:rtl/>
      </w:rPr>
      <w:tab/>
    </w:r>
    <w:r w:rsidR="00E019E9">
      <w:rPr>
        <w:rtl/>
      </w:rPr>
      <w:tab/>
    </w:r>
    <w:r w:rsidR="00E019E9">
      <w:rPr>
        <w:rtl/>
      </w:rPr>
      <w:tab/>
    </w:r>
    <w:r w:rsidR="00E019E9">
      <w:rPr>
        <w:rtl/>
      </w:rPr>
      <w:tab/>
    </w:r>
    <w:r w:rsidR="00E019E9">
      <w:rPr>
        <w:rt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2CA"/>
    <w:rsid w:val="00055916"/>
    <w:rsid w:val="000C25FD"/>
    <w:rsid w:val="000D7D13"/>
    <w:rsid w:val="000E745E"/>
    <w:rsid w:val="001936CE"/>
    <w:rsid w:val="001A3E2F"/>
    <w:rsid w:val="002D7162"/>
    <w:rsid w:val="003706CC"/>
    <w:rsid w:val="004E4E82"/>
    <w:rsid w:val="00771609"/>
    <w:rsid w:val="008132CA"/>
    <w:rsid w:val="009F4441"/>
    <w:rsid w:val="00C47AA7"/>
    <w:rsid w:val="00CD12BA"/>
    <w:rsid w:val="00E019E9"/>
    <w:rsid w:val="00FA16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E1C55"/>
  <w15:chartTrackingRefBased/>
  <w15:docId w15:val="{BE1BBD81-E5C4-43E3-B780-B8AB205AA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5916"/>
    <w:pPr>
      <w:bidi/>
      <w:spacing w:line="256" w:lineRule="auto"/>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spacing w:line="259" w:lineRule="auto"/>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55916"/>
    <w:pPr>
      <w:outlineLvl w:val="3"/>
    </w:pPr>
    <w:rPr>
      <w:rFonts w:eastAsia="Times New Roman"/>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semiHidden/>
    <w:rsid w:val="00055916"/>
    <w:rPr>
      <w:rFonts w:ascii="Narkisim" w:eastAsia="Times New Roman" w:hAnsi="Narkisim" w:cs="Narkisim"/>
      <w:color w:val="000080"/>
      <w:sz w:val="28"/>
      <w:szCs w:val="28"/>
    </w:rPr>
  </w:style>
  <w:style w:type="character" w:styleId="Hyperlink">
    <w:name w:val="Hyperlink"/>
    <w:basedOn w:val="DefaultParagraphFont"/>
    <w:uiPriority w:val="99"/>
    <w:semiHidden/>
    <w:unhideWhenUsed/>
    <w:rsid w:val="00055916"/>
    <w:rPr>
      <w:color w:val="0563C1" w:themeColor="hyperlink"/>
      <w:u w:val="single"/>
    </w:rPr>
  </w:style>
  <w:style w:type="paragraph" w:styleId="FootnoteText">
    <w:name w:val="footnote text"/>
    <w:basedOn w:val="Normal"/>
    <w:link w:val="FootnoteTextChar"/>
    <w:uiPriority w:val="99"/>
    <w:semiHidden/>
    <w:unhideWhenUsed/>
    <w:rsid w:val="000559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5916"/>
    <w:rPr>
      <w:rFonts w:ascii="Narkisim" w:hAnsi="Narkisim" w:cs="Narkisim"/>
      <w:sz w:val="20"/>
      <w:szCs w:val="20"/>
    </w:rPr>
  </w:style>
  <w:style w:type="character" w:styleId="FootnoteReference">
    <w:name w:val="footnote reference"/>
    <w:basedOn w:val="DefaultParagraphFont"/>
    <w:uiPriority w:val="99"/>
    <w:semiHidden/>
    <w:unhideWhenUsed/>
    <w:rsid w:val="000559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027558">
      <w:bodyDiv w:val="1"/>
      <w:marLeft w:val="0"/>
      <w:marRight w:val="0"/>
      <w:marTop w:val="0"/>
      <w:marBottom w:val="0"/>
      <w:divBdr>
        <w:top w:val="none" w:sz="0" w:space="0" w:color="auto"/>
        <w:left w:val="none" w:sz="0" w:space="0" w:color="auto"/>
        <w:bottom w:val="none" w:sz="0" w:space="0" w:color="auto"/>
        <w:right w:val="none" w:sz="0" w:space="0" w:color="auto"/>
      </w:divBdr>
    </w:div>
    <w:div w:id="185402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hebrewbooks.org/pdfpager.aspx?req=41610&amp;st=&amp;pgnum=4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brewbooks.org/pdfpager.aspx?req=40801&amp;pgnum=104"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hebrewbooks.org/pdfpager.aspx?req=979&amp;st=&amp;pgnum=46" TargetMode="External"/><Relationship Id="rId2" Type="http://schemas.openxmlformats.org/officeDocument/2006/relationships/hyperlink" Target="http://etzion.org.il/vbm/english/archive/halak67/01halak.htm" TargetMode="External"/><Relationship Id="rId1" Type="http://schemas.openxmlformats.org/officeDocument/2006/relationships/hyperlink" Target="https://books.google.com/books?id=4EYeDZpAF7UC&amp;pg=PA249&amp;lpg=PA249&amp;dq=ritva+returning+ribbit&amp;source=bl&amp;ots=AXrqhNH3Ig&amp;sig=epPlVgde2eMaMZd4un8T4plAwWU&amp;hl=en&amp;sa=X&amp;ved=0ahUKEwjT6JWb2q_PAhXGOD4KHZkIA-cQ6AEIHD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7</TotalTime>
  <Pages>3</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9</cp:revision>
  <dcterms:created xsi:type="dcterms:W3CDTF">2018-05-08T16:08:00Z</dcterms:created>
  <dcterms:modified xsi:type="dcterms:W3CDTF">2018-05-08T16:50:00Z</dcterms:modified>
</cp:coreProperties>
</file>