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764E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686C3213" w14:textId="0D81D7AE" w:rsidR="009F4441" w:rsidRDefault="002A4808" w:rsidP="009F4441">
      <w:pPr>
        <w:pStyle w:val="Subtitle"/>
      </w:pPr>
      <w:r>
        <w:rPr>
          <w:rFonts w:hint="cs"/>
          <w:rtl/>
        </w:rPr>
        <w:t>עם הארץ, סמיכה ביד, מעשר שני</w:t>
      </w:r>
      <w:bookmarkStart w:id="0" w:name="_GoBack"/>
      <w:bookmarkEnd w:id="0"/>
    </w:p>
    <w:p w14:paraId="19C9F565" w14:textId="77777777" w:rsidR="00E363F9" w:rsidRDefault="00E363F9" w:rsidP="00E363F9">
      <w:pPr>
        <w:pStyle w:val="Heading1"/>
        <w:rPr>
          <w:rtl/>
        </w:rPr>
      </w:pPr>
      <w:bookmarkStart w:id="1" w:name="_Toc497158960"/>
      <w:r w:rsidRPr="00BB336E">
        <w:rPr>
          <w:rtl/>
        </w:rPr>
        <w:t xml:space="preserve">סמיכה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B336E">
        <w:rPr>
          <w:rtl/>
        </w:rPr>
        <w:t>ביד</w:t>
      </w:r>
      <w:bookmarkEnd w:id="1"/>
    </w:p>
    <w:p w14:paraId="73D7EC25" w14:textId="77777777" w:rsidR="00E363F9" w:rsidRPr="00E803D8" w:rsidRDefault="00E363F9" w:rsidP="00E363F9">
      <w:pPr>
        <w:pStyle w:val="Heading4"/>
      </w:pPr>
      <w:r>
        <w:rPr>
          <w:rFonts w:hint="cs"/>
          <w:rtl/>
        </w:rPr>
        <w:t>סנהדרין יד.</w:t>
      </w:r>
    </w:p>
    <w:p w14:paraId="3D8B3A15" w14:textId="77777777" w:rsidR="00E363F9" w:rsidRPr="00E803D8" w:rsidRDefault="00E363F9" w:rsidP="00E363F9">
      <w:pPr>
        <w:pStyle w:val="Heading4"/>
      </w:pPr>
      <w:r w:rsidRPr="00E803D8">
        <w:rPr>
          <w:rtl/>
        </w:rPr>
        <w:t>שו"ת אגרות משה ח</w:t>
      </w:r>
      <w:r>
        <w:rPr>
          <w:rFonts w:hint="cs"/>
          <w:rtl/>
        </w:rPr>
        <w:t>ו</w:t>
      </w:r>
      <w:r w:rsidRPr="00E803D8">
        <w:rPr>
          <w:rtl/>
        </w:rPr>
        <w:t>שן משפט ח</w:t>
      </w:r>
      <w:r>
        <w:rPr>
          <w:rFonts w:hint="cs"/>
          <w:rtl/>
        </w:rPr>
        <w:t xml:space="preserve">לק </w:t>
      </w:r>
      <w:r w:rsidRPr="00E803D8">
        <w:rPr>
          <w:rtl/>
        </w:rPr>
        <w:t>א סימן א</w:t>
      </w:r>
      <w:r w:rsidRPr="00E803D8">
        <w:t xml:space="preserve"> </w:t>
      </w:r>
    </w:p>
    <w:p w14:paraId="21400E2C" w14:textId="77777777" w:rsidR="00E363F9" w:rsidRPr="00E803D8" w:rsidRDefault="00E363F9" w:rsidP="00E363F9">
      <w:pPr>
        <w:pStyle w:val="Heading4"/>
        <w:rPr>
          <w:rtl/>
        </w:rPr>
      </w:pPr>
      <w:proofErr w:type="spellStart"/>
      <w:r w:rsidRPr="00E803D8">
        <w:rPr>
          <w:rtl/>
        </w:rPr>
        <w:t>יעבץ</w:t>
      </w:r>
      <w:proofErr w:type="spellEnd"/>
      <w:r w:rsidRPr="00E803D8">
        <w:rPr>
          <w:rtl/>
        </w:rPr>
        <w:t xml:space="preserve"> </w:t>
      </w:r>
      <w:r>
        <w:rPr>
          <w:rFonts w:hint="cs"/>
          <w:rtl/>
        </w:rPr>
        <w:t xml:space="preserve">סנהדרין יד. </w:t>
      </w:r>
      <w:r>
        <w:rPr>
          <w:rtl/>
        </w:rPr>
        <w:t xml:space="preserve">ד"ה </w:t>
      </w:r>
      <w:proofErr w:type="spellStart"/>
      <w:r>
        <w:rPr>
          <w:rtl/>
        </w:rPr>
        <w:t>סמכיה</w:t>
      </w:r>
      <w:proofErr w:type="spellEnd"/>
      <w:r>
        <w:rPr>
          <w:rtl/>
        </w:rPr>
        <w:t xml:space="preserve"> ר"ע ולא קבלו</w:t>
      </w:r>
    </w:p>
    <w:p w14:paraId="2AD82EF0" w14:textId="77777777" w:rsidR="002A4808" w:rsidRDefault="002A4808" w:rsidP="002A4808">
      <w:pPr>
        <w:pStyle w:val="Heading1"/>
        <w:rPr>
          <w:rtl/>
        </w:rPr>
      </w:pPr>
      <w:bookmarkStart w:id="2" w:name="_Toc497158740"/>
      <w:bookmarkStart w:id="3" w:name="_Toc497158269"/>
      <w:r>
        <w:rPr>
          <w:rFonts w:hint="cs"/>
          <w:rtl/>
        </w:rPr>
        <w:t xml:space="preserve">איסורי דרבנן </w:t>
      </w:r>
      <w:r>
        <w:rPr>
          <w:rtl/>
        </w:rPr>
        <w:t>–</w:t>
      </w:r>
      <w:r>
        <w:rPr>
          <w:rFonts w:hint="cs"/>
          <w:rtl/>
        </w:rPr>
        <w:t xml:space="preserve"> איסורי </w:t>
      </w:r>
      <w:proofErr w:type="spellStart"/>
      <w:r>
        <w:rPr>
          <w:rFonts w:hint="cs"/>
          <w:rtl/>
        </w:rPr>
        <w:t>חפצא</w:t>
      </w:r>
      <w:proofErr w:type="spellEnd"/>
      <w:r>
        <w:rPr>
          <w:rFonts w:hint="cs"/>
          <w:rtl/>
        </w:rPr>
        <w:t xml:space="preserve"> או גברא</w:t>
      </w:r>
      <w:bookmarkEnd w:id="3"/>
    </w:p>
    <w:p w14:paraId="428D79FD" w14:textId="77777777" w:rsidR="002A4808" w:rsidRDefault="002A4808" w:rsidP="002A4808">
      <w:pPr>
        <w:pStyle w:val="Heading2"/>
        <w:rPr>
          <w:rtl/>
        </w:rPr>
      </w:pPr>
      <w:r>
        <w:rPr>
          <w:rFonts w:hint="cs"/>
          <w:rtl/>
        </w:rPr>
        <w:t xml:space="preserve">נתיבות המשפט ביאורים </w:t>
      </w:r>
      <w:proofErr w:type="spellStart"/>
      <w:r>
        <w:rPr>
          <w:rFonts w:hint="cs"/>
          <w:rtl/>
        </w:rPr>
        <w:t>רלד:ג</w:t>
      </w:r>
      <w:proofErr w:type="spellEnd"/>
    </w:p>
    <w:p w14:paraId="488DBFB8" w14:textId="77777777" w:rsidR="002A4808" w:rsidRPr="00E940EA" w:rsidRDefault="002A4808" w:rsidP="002A4808">
      <w:pPr>
        <w:rPr>
          <w:rtl/>
        </w:rPr>
      </w:pPr>
      <w:r w:rsidRPr="00E940EA">
        <w:rPr>
          <w:rtl/>
        </w:rPr>
        <w:t xml:space="preserve">ואין המוכר מחזיר לו כלום. </w:t>
      </w:r>
      <w:proofErr w:type="spellStart"/>
      <w:r w:rsidRPr="00E940EA">
        <w:rPr>
          <w:rtl/>
        </w:rPr>
        <w:t>בש"ך</w:t>
      </w:r>
      <w:proofErr w:type="spellEnd"/>
      <w:r w:rsidRPr="00E940EA">
        <w:rPr>
          <w:rtl/>
        </w:rPr>
        <w:t xml:space="preserve"> ביו"ד סימן קי"ט [</w:t>
      </w:r>
      <w:proofErr w:type="spellStart"/>
      <w:r w:rsidRPr="00E940EA">
        <w:rPr>
          <w:rtl/>
        </w:rPr>
        <w:t>סקכ"ז</w:t>
      </w:r>
      <w:proofErr w:type="spellEnd"/>
      <w:r w:rsidRPr="00E940EA">
        <w:rPr>
          <w:rtl/>
        </w:rPr>
        <w:t xml:space="preserve">] פסק </w:t>
      </w:r>
      <w:proofErr w:type="spellStart"/>
      <w:r w:rsidRPr="00E940EA">
        <w:rPr>
          <w:rtl/>
        </w:rPr>
        <w:t>דאפילו</w:t>
      </w:r>
      <w:proofErr w:type="spellEnd"/>
      <w:r w:rsidRPr="00E940EA">
        <w:rPr>
          <w:rtl/>
        </w:rPr>
        <w:t xml:space="preserve"> המותר </w:t>
      </w:r>
      <w:proofErr w:type="spellStart"/>
      <w:r w:rsidRPr="00E940EA">
        <w:rPr>
          <w:rtl/>
        </w:rPr>
        <w:t>משויו</w:t>
      </w:r>
      <w:proofErr w:type="spellEnd"/>
      <w:r w:rsidRPr="00E940EA">
        <w:rPr>
          <w:rtl/>
        </w:rPr>
        <w:t xml:space="preserve"> א"צ להחזיר ע"ש. ולכאורה אינו מובן, כיון </w:t>
      </w:r>
      <w:proofErr w:type="spellStart"/>
      <w:r w:rsidRPr="00E940EA">
        <w:rPr>
          <w:rtl/>
        </w:rPr>
        <w:t>דהמקח</w:t>
      </w:r>
      <w:proofErr w:type="spellEnd"/>
      <w:r w:rsidRPr="00E940EA">
        <w:rPr>
          <w:rtl/>
        </w:rPr>
        <w:t xml:space="preserve"> בטל הוי כמזיק או כאוכל שלא במקח ולמה יצטרך לשלם יותר </w:t>
      </w:r>
      <w:proofErr w:type="spellStart"/>
      <w:r w:rsidRPr="00E940EA">
        <w:rPr>
          <w:rtl/>
        </w:rPr>
        <w:t>משויו</w:t>
      </w:r>
      <w:proofErr w:type="spellEnd"/>
      <w:r w:rsidRPr="00E940EA">
        <w:rPr>
          <w:rtl/>
        </w:rPr>
        <w:t xml:space="preserve">. ואפשר דאף </w:t>
      </w:r>
      <w:proofErr w:type="spellStart"/>
      <w:r w:rsidRPr="00E940EA">
        <w:rPr>
          <w:rtl/>
        </w:rPr>
        <w:t>דבאיסורי</w:t>
      </w:r>
      <w:proofErr w:type="spellEnd"/>
      <w:r w:rsidRPr="00E940EA">
        <w:rPr>
          <w:rtl/>
        </w:rPr>
        <w:t xml:space="preserve"> תורה אפילו אוכלן בשוגג צריך כפרה ותשובה </w:t>
      </w:r>
      <w:proofErr w:type="spellStart"/>
      <w:r w:rsidRPr="00E940EA">
        <w:rPr>
          <w:rtl/>
        </w:rPr>
        <w:t>להגין</w:t>
      </w:r>
      <w:proofErr w:type="spellEnd"/>
      <w:r w:rsidRPr="00E940EA">
        <w:rPr>
          <w:rtl/>
        </w:rPr>
        <w:t xml:space="preserve"> על </w:t>
      </w:r>
      <w:proofErr w:type="spellStart"/>
      <w:r w:rsidRPr="00E940EA">
        <w:rPr>
          <w:rtl/>
        </w:rPr>
        <w:t>היסורין</w:t>
      </w:r>
      <w:proofErr w:type="spellEnd"/>
      <w:r w:rsidRPr="00E940EA">
        <w:rPr>
          <w:rtl/>
        </w:rPr>
        <w:t xml:space="preserve">, מ"מ באיסור דרבנן א"צ שום כפרה וכאילו לא עבר דמי. תדע, </w:t>
      </w:r>
      <w:proofErr w:type="spellStart"/>
      <w:r w:rsidRPr="00E940EA">
        <w:rPr>
          <w:rtl/>
        </w:rPr>
        <w:t>דהא</w:t>
      </w:r>
      <w:proofErr w:type="spellEnd"/>
      <w:r w:rsidRPr="00E940EA">
        <w:rPr>
          <w:rtl/>
        </w:rPr>
        <w:t xml:space="preserve"> </w:t>
      </w:r>
      <w:proofErr w:type="spellStart"/>
      <w:r w:rsidRPr="00E940EA">
        <w:rPr>
          <w:rtl/>
        </w:rPr>
        <w:t>אמרינן</w:t>
      </w:r>
      <w:proofErr w:type="spellEnd"/>
      <w:r w:rsidRPr="00E940EA">
        <w:rPr>
          <w:rtl/>
        </w:rPr>
        <w:t xml:space="preserve"> בעירובין דף (מ"ז) [ס"ז ע"ב] בדרבנן </w:t>
      </w:r>
      <w:proofErr w:type="spellStart"/>
      <w:r w:rsidRPr="00E940EA">
        <w:rPr>
          <w:rtl/>
        </w:rPr>
        <w:t>עבדינן</w:t>
      </w:r>
      <w:proofErr w:type="spellEnd"/>
      <w:r w:rsidRPr="00E940EA">
        <w:rPr>
          <w:rtl/>
        </w:rPr>
        <w:t xml:space="preserve"> </w:t>
      </w:r>
      <w:proofErr w:type="spellStart"/>
      <w:r w:rsidRPr="00E940EA">
        <w:rPr>
          <w:rtl/>
        </w:rPr>
        <w:t>עובדא</w:t>
      </w:r>
      <w:proofErr w:type="spellEnd"/>
      <w:r w:rsidRPr="00E940EA">
        <w:rPr>
          <w:rtl/>
        </w:rPr>
        <w:t xml:space="preserve"> והדר </w:t>
      </w:r>
      <w:proofErr w:type="spellStart"/>
      <w:r w:rsidRPr="00E940EA">
        <w:rPr>
          <w:rtl/>
        </w:rPr>
        <w:t>מותבינן</w:t>
      </w:r>
      <w:proofErr w:type="spellEnd"/>
      <w:r w:rsidRPr="00E940EA">
        <w:rPr>
          <w:rtl/>
        </w:rPr>
        <w:t xml:space="preserve"> </w:t>
      </w:r>
      <w:proofErr w:type="spellStart"/>
      <w:r w:rsidRPr="00E940EA">
        <w:rPr>
          <w:rtl/>
        </w:rPr>
        <w:t>תיובתא</w:t>
      </w:r>
      <w:proofErr w:type="spellEnd"/>
      <w:r w:rsidRPr="00E940EA">
        <w:rPr>
          <w:rtl/>
        </w:rPr>
        <w:t xml:space="preserve">, ואילו היה נענש על השוגג היאך היה </w:t>
      </w:r>
      <w:proofErr w:type="spellStart"/>
      <w:r w:rsidRPr="00E940EA">
        <w:rPr>
          <w:rtl/>
        </w:rPr>
        <w:t>מניחין</w:t>
      </w:r>
      <w:proofErr w:type="spellEnd"/>
      <w:r w:rsidRPr="00E940EA">
        <w:rPr>
          <w:rtl/>
        </w:rPr>
        <w:t xml:space="preserve"> לו לעבור ולקבל עונש, אלא ודאי דאינו נענש כלל על השוגג באיסור דרבנן והרי הוא </w:t>
      </w:r>
      <w:proofErr w:type="spellStart"/>
      <w:r w:rsidRPr="00E940EA">
        <w:rPr>
          <w:rtl/>
        </w:rPr>
        <w:t>להאוכל</w:t>
      </w:r>
      <w:proofErr w:type="spellEnd"/>
      <w:r w:rsidRPr="00E940EA">
        <w:rPr>
          <w:rtl/>
        </w:rPr>
        <w:t xml:space="preserve"> כאילו אכל כשירה, והרי נהנה כמו מן הכשירה, </w:t>
      </w:r>
      <w:proofErr w:type="spellStart"/>
      <w:r w:rsidRPr="00E940EA">
        <w:rPr>
          <w:rtl/>
        </w:rPr>
        <w:t>ומש"ה</w:t>
      </w:r>
      <w:proofErr w:type="spellEnd"/>
      <w:r w:rsidRPr="00E940EA">
        <w:rPr>
          <w:rtl/>
        </w:rPr>
        <w:t xml:space="preserve"> צריך לשלם כל דמי הנאתו כמו בזה נהנה וזה חסר מועט, </w:t>
      </w:r>
      <w:proofErr w:type="spellStart"/>
      <w:r w:rsidRPr="00E940EA">
        <w:rPr>
          <w:rtl/>
        </w:rPr>
        <w:t>דכללא</w:t>
      </w:r>
      <w:proofErr w:type="spellEnd"/>
      <w:r w:rsidRPr="00E940EA">
        <w:rPr>
          <w:rtl/>
        </w:rPr>
        <w:t xml:space="preserve"> הוא </w:t>
      </w:r>
      <w:proofErr w:type="spellStart"/>
      <w:r w:rsidRPr="00E940EA">
        <w:rPr>
          <w:rtl/>
        </w:rPr>
        <w:t>דצריך</w:t>
      </w:r>
      <w:proofErr w:type="spellEnd"/>
      <w:r w:rsidRPr="00E940EA">
        <w:rPr>
          <w:rtl/>
        </w:rPr>
        <w:t xml:space="preserve"> לשלם כפי מה שנהנה, </w:t>
      </w:r>
      <w:proofErr w:type="spellStart"/>
      <w:r w:rsidRPr="00E940EA">
        <w:rPr>
          <w:rtl/>
        </w:rPr>
        <w:t>משא"כ</w:t>
      </w:r>
      <w:proofErr w:type="spellEnd"/>
      <w:r w:rsidRPr="00E940EA">
        <w:rPr>
          <w:rtl/>
        </w:rPr>
        <w:t xml:space="preserve"> באיסור דאורייתא שמקבל עונש על השוגג וחסרונו גדול מהנאתו.</w:t>
      </w:r>
    </w:p>
    <w:p w14:paraId="763A806F" w14:textId="77777777" w:rsidR="00605E18" w:rsidRDefault="00605E18" w:rsidP="00605E18">
      <w:pPr>
        <w:pStyle w:val="Heading1"/>
        <w:rPr>
          <w:rtl/>
        </w:rPr>
      </w:pPr>
      <w:r>
        <w:rPr>
          <w:rFonts w:hint="cs"/>
          <w:rtl/>
        </w:rPr>
        <w:t>כסף נייר (</w:t>
      </w:r>
      <w:r>
        <w:t>Paper Money</w:t>
      </w:r>
      <w:r>
        <w:rPr>
          <w:rFonts w:hint="cs"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 מדין שטר או כסף</w:t>
      </w:r>
      <w:bookmarkEnd w:id="2"/>
    </w:p>
    <w:p w14:paraId="3D5E1A5C" w14:textId="77777777" w:rsidR="00605E18" w:rsidRPr="00465082" w:rsidRDefault="00605E18" w:rsidP="00605E18">
      <w:pPr>
        <w:pStyle w:val="Heading4"/>
        <w:rPr>
          <w:rtl/>
        </w:rPr>
      </w:pPr>
      <w:r w:rsidRPr="00546E61">
        <w:rPr>
          <w:rtl/>
        </w:rPr>
        <w:t xml:space="preserve">שו"ת חתם סופר חלק ב (יורה דעה) סימן </w:t>
      </w:r>
      <w:proofErr w:type="spellStart"/>
      <w:r w:rsidRPr="00546E61">
        <w:rPr>
          <w:rtl/>
        </w:rPr>
        <w:t>קלד</w:t>
      </w:r>
      <w:proofErr w:type="spellEnd"/>
      <w:r>
        <w:rPr>
          <w:rStyle w:val="FootnoteReference"/>
          <w:rtl/>
        </w:rPr>
        <w:footnoteReference w:id="1"/>
      </w:r>
    </w:p>
    <w:p w14:paraId="0BB80290" w14:textId="77777777" w:rsidR="007E1760" w:rsidRPr="001B611A" w:rsidRDefault="007E1760" w:rsidP="007E1760">
      <w:pPr>
        <w:pStyle w:val="Heading1"/>
      </w:pPr>
      <w:bookmarkStart w:id="4" w:name="_Toc497158422"/>
      <w:proofErr w:type="spellStart"/>
      <w:r w:rsidRPr="001B611A">
        <w:rPr>
          <w:rFonts w:hint="cs"/>
          <w:rtl/>
        </w:rPr>
        <w:t>דינא</w:t>
      </w:r>
      <w:proofErr w:type="spellEnd"/>
      <w:r w:rsidRPr="001B611A">
        <w:rPr>
          <w:rFonts w:hint="cs"/>
          <w:rtl/>
        </w:rPr>
        <w:t xml:space="preserve"> </w:t>
      </w:r>
      <w:proofErr w:type="spellStart"/>
      <w:r w:rsidRPr="001B611A">
        <w:rPr>
          <w:rFonts w:hint="cs"/>
          <w:rtl/>
        </w:rPr>
        <w:t>דמלכותא</w:t>
      </w:r>
      <w:proofErr w:type="spellEnd"/>
      <w:r w:rsidRPr="001B611A">
        <w:rPr>
          <w:rFonts w:hint="cs"/>
          <w:rtl/>
        </w:rPr>
        <w:t xml:space="preserve"> </w:t>
      </w:r>
      <w:proofErr w:type="spellStart"/>
      <w:r w:rsidRPr="001B611A">
        <w:rPr>
          <w:rFonts w:hint="cs"/>
          <w:rtl/>
        </w:rPr>
        <w:t>דינא</w:t>
      </w:r>
      <w:bookmarkEnd w:id="4"/>
      <w:proofErr w:type="spellEnd"/>
    </w:p>
    <w:p w14:paraId="43FA27DE" w14:textId="77777777" w:rsidR="007E1760" w:rsidRPr="001B611A" w:rsidRDefault="007E1760" w:rsidP="007E1760">
      <w:pPr>
        <w:pStyle w:val="Heading2"/>
      </w:pPr>
      <w:hyperlink r:id="rId6" w:history="1">
        <w:r w:rsidRPr="001B611A">
          <w:rPr>
            <w:color w:val="0563C1" w:themeColor="hyperlink"/>
            <w:u w:val="single"/>
          </w:rPr>
          <w:t xml:space="preserve">Taxation and Dina </w:t>
        </w:r>
        <w:proofErr w:type="spellStart"/>
        <w:r w:rsidRPr="001B611A">
          <w:rPr>
            <w:color w:val="0563C1" w:themeColor="hyperlink"/>
            <w:u w:val="single"/>
          </w:rPr>
          <w:t>Demalchusa</w:t>
        </w:r>
        <w:proofErr w:type="spellEnd"/>
        <w:r w:rsidRPr="001B611A">
          <w:rPr>
            <w:color w:val="0563C1" w:themeColor="hyperlink"/>
            <w:u w:val="single"/>
          </w:rPr>
          <w:t xml:space="preserve"> (TorahWeb)</w:t>
        </w:r>
      </w:hyperlink>
    </w:p>
    <w:p w14:paraId="6ED83A93" w14:textId="77777777" w:rsidR="007E1760" w:rsidRPr="001B611A" w:rsidRDefault="007E1760" w:rsidP="007E1760">
      <w:pPr>
        <w:pStyle w:val="Heading2"/>
      </w:pPr>
      <w:hyperlink r:id="rId7" w:history="1">
        <w:r w:rsidRPr="001B611A">
          <w:rPr>
            <w:color w:val="0563C1" w:themeColor="hyperlink"/>
            <w:u w:val="single"/>
          </w:rPr>
          <w:t xml:space="preserve">Dina </w:t>
        </w:r>
        <w:proofErr w:type="spellStart"/>
        <w:r w:rsidRPr="001B611A">
          <w:rPr>
            <w:color w:val="0563C1" w:themeColor="hyperlink"/>
            <w:u w:val="single"/>
          </w:rPr>
          <w:t>De'malchusa</w:t>
        </w:r>
        <w:proofErr w:type="spellEnd"/>
        <w:r w:rsidRPr="001B611A">
          <w:rPr>
            <w:color w:val="0563C1" w:themeColor="hyperlink"/>
            <w:u w:val="single"/>
          </w:rPr>
          <w:t xml:space="preserve"> Dina: Secular Law as a Religious Obligation</w:t>
        </w:r>
      </w:hyperlink>
    </w:p>
    <w:p w14:paraId="784C0BD1" w14:textId="77777777" w:rsidR="007E1760" w:rsidRDefault="007E1760" w:rsidP="007E1760">
      <w:pPr>
        <w:pStyle w:val="Heading2"/>
        <w:rPr>
          <w:shd w:val="clear" w:color="auto" w:fill="FFFFFF"/>
          <w:rtl/>
        </w:rPr>
      </w:pPr>
      <w:r w:rsidRPr="001B611A">
        <w:rPr>
          <w:rFonts w:hint="cs"/>
          <w:shd w:val="clear" w:color="auto" w:fill="FFFFFF"/>
          <w:rtl/>
        </w:rPr>
        <w:t xml:space="preserve">נפש הרב עמ' </w:t>
      </w:r>
      <w:proofErr w:type="spellStart"/>
      <w:r w:rsidRPr="001B611A">
        <w:rPr>
          <w:rFonts w:hint="cs"/>
          <w:shd w:val="clear" w:color="auto" w:fill="FFFFFF"/>
          <w:rtl/>
        </w:rPr>
        <w:t>רסט</w:t>
      </w:r>
      <w:proofErr w:type="spellEnd"/>
    </w:p>
    <w:p w14:paraId="316C7FF5" w14:textId="77777777" w:rsidR="000C25FD" w:rsidRPr="009F4441" w:rsidRDefault="000C25FD"/>
    <w:sectPr w:rsidR="000C25FD" w:rsidRPr="009F44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3EB" w14:textId="77777777" w:rsidR="00E363F9" w:rsidRDefault="00E363F9" w:rsidP="009F4441">
      <w:pPr>
        <w:spacing w:after="0" w:line="240" w:lineRule="auto"/>
      </w:pPr>
      <w:r>
        <w:separator/>
      </w:r>
    </w:p>
  </w:endnote>
  <w:endnote w:type="continuationSeparator" w:id="0">
    <w:p w14:paraId="1AFE7CD3" w14:textId="77777777" w:rsidR="00E363F9" w:rsidRDefault="00E363F9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3A5C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87E5" w14:textId="77777777" w:rsidR="00E363F9" w:rsidRDefault="00E363F9" w:rsidP="009F4441">
      <w:pPr>
        <w:spacing w:after="0" w:line="240" w:lineRule="auto"/>
      </w:pPr>
      <w:r>
        <w:separator/>
      </w:r>
    </w:p>
  </w:footnote>
  <w:footnote w:type="continuationSeparator" w:id="0">
    <w:p w14:paraId="41C9760A" w14:textId="77777777" w:rsidR="00E363F9" w:rsidRDefault="00E363F9" w:rsidP="009F4441">
      <w:pPr>
        <w:spacing w:after="0" w:line="240" w:lineRule="auto"/>
      </w:pPr>
      <w:r>
        <w:continuationSeparator/>
      </w:r>
    </w:p>
  </w:footnote>
  <w:footnote w:id="1">
    <w:p w14:paraId="5E2614F6" w14:textId="77777777" w:rsidR="00605E18" w:rsidRDefault="00605E18" w:rsidP="00605E1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הובא בפתחי תשובה יורה דעה </w:t>
      </w:r>
      <w:proofErr w:type="spellStart"/>
      <w:r>
        <w:rPr>
          <w:rFonts w:hint="cs"/>
          <w:rtl/>
        </w:rPr>
        <w:t>שה:ז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BA03" w14:textId="278EE0F8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60051D">
      <w:rPr>
        <w:rFonts w:hint="cs"/>
        <w:rtl/>
      </w:rPr>
      <w:t xml:space="preserve">ברכות </w:t>
    </w:r>
    <w:proofErr w:type="spellStart"/>
    <w:r w:rsidR="0060051D">
      <w:rPr>
        <w:rFonts w:hint="cs"/>
        <w:rtl/>
      </w:rPr>
      <w:t>מז</w:t>
    </w:r>
    <w:proofErr w:type="spellEnd"/>
    <w:r w:rsidR="0060051D">
      <w:rPr>
        <w:rFonts w:hint="cs"/>
        <w:rtl/>
      </w:rPr>
      <w:t>:</w:t>
    </w:r>
  </w:p>
  <w:p w14:paraId="7B02DE8D" w14:textId="7E4E60CF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60051D" w:rsidRPr="0060051D">
      <w:rPr>
        <w:rtl/>
      </w:rPr>
      <w:t>‏י' ניסן תשע"ח</w:t>
    </w:r>
    <w:r w:rsidR="0060051D" w:rsidRPr="0060051D"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Pr="00C52284">
      <w:rPr>
        <w:rtl/>
      </w:rPr>
      <w:t xml:space="preserve">שיעור </w:t>
    </w:r>
    <w:r w:rsidR="0060051D">
      <w:rPr>
        <w:rFonts w:hint="cs"/>
        <w:rtl/>
      </w:rPr>
      <w:t>צ</w:t>
    </w:r>
    <w:r>
      <w:rPr>
        <w:rFonts w:hint="cs"/>
        <w:rtl/>
      </w:rPr>
      <w:t>'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F9"/>
    <w:rsid w:val="000C25FD"/>
    <w:rsid w:val="000D7D13"/>
    <w:rsid w:val="001A3E2F"/>
    <w:rsid w:val="002A4808"/>
    <w:rsid w:val="002D7162"/>
    <w:rsid w:val="003C39B1"/>
    <w:rsid w:val="0060051D"/>
    <w:rsid w:val="00605E18"/>
    <w:rsid w:val="00771609"/>
    <w:rsid w:val="007E1760"/>
    <w:rsid w:val="009F4441"/>
    <w:rsid w:val="00C47AA7"/>
    <w:rsid w:val="00CB74D9"/>
    <w:rsid w:val="00D50080"/>
    <w:rsid w:val="00E019E9"/>
    <w:rsid w:val="00E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416"/>
  <w15:chartTrackingRefBased/>
  <w15:docId w15:val="{2C06E8BF-1FF4-4788-9F0D-2FAD8F8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3F9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E363F9"/>
    <w:rPr>
      <w:rFonts w:ascii="Narkisim" w:hAnsi="Narkisim" w:cs="Narkisim"/>
      <w:color w:val="000080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E18"/>
    <w:rPr>
      <w:rFonts w:ascii="Narkisim" w:hAnsi="Narkisim" w:cs="Narkisim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05E1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05E18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utorah.org/lectures/lecture.cfm/735655/rabbi-hershel-schachter/dina-de-malchusa-dina-secular-law-as-a-religious-oblig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ahweb.org/torah/special/2005/rsch_taxe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7</cp:revision>
  <dcterms:created xsi:type="dcterms:W3CDTF">2018-03-26T15:08:00Z</dcterms:created>
  <dcterms:modified xsi:type="dcterms:W3CDTF">2018-03-26T15:52:00Z</dcterms:modified>
</cp:coreProperties>
</file>