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A7F40" w:rsidR="009F4441" w:rsidP="009F4441" w:rsidRDefault="009F4441" w14:paraId="495FDB93" w14:textId="77777777">
      <w:pPr>
        <w:pStyle w:val="Title"/>
        <w:bidi/>
        <w:rPr>
          <w:sz w:val="72"/>
          <w:szCs w:val="72"/>
          <w:rtl/>
        </w:rPr>
      </w:pPr>
      <w:r w:rsidRPr="00EA7F40">
        <w:rPr>
          <w:rFonts w:hint="cs"/>
          <w:sz w:val="72"/>
          <w:szCs w:val="72"/>
          <w:rtl/>
        </w:rPr>
        <w:t xml:space="preserve">עזר לצבי </w:t>
      </w:r>
    </w:p>
    <w:p w:rsidR="009F4441" w:rsidP="009F4441" w:rsidRDefault="009F4441" w14:paraId="7D776260" w14:textId="77777777">
      <w:pPr>
        <w:pStyle w:val="Subtitle"/>
        <w:rPr>
          <w:rtl/>
        </w:rPr>
      </w:pPr>
      <w:r>
        <w:rPr>
          <w:rFonts w:hint="cs"/>
          <w:rtl/>
        </w:rPr>
        <w:t>כותרות</w:t>
      </w:r>
    </w:p>
    <w:p w:rsidR="00495076" w:rsidP="00495076" w:rsidRDefault="00495076" w14:paraId="2F0B66D6" w14:textId="77777777">
      <w:pPr>
        <w:pStyle w:val="Heading1"/>
      </w:pPr>
      <w:r>
        <w:rPr>
          <w:rFonts w:hint="cs"/>
          <w:rtl/>
        </w:rPr>
        <w:t>ברכות מן התורה</w:t>
      </w:r>
    </w:p>
    <w:p w:rsidR="00495076" w:rsidP="00495076" w:rsidRDefault="00495076" w14:paraId="6374E32D" w14:textId="77777777">
      <w:pPr>
        <w:pStyle w:val="Heading2"/>
        <w:rPr>
          <w:rtl/>
        </w:rPr>
      </w:pPr>
      <w:r>
        <w:rPr>
          <w:rFonts w:hint="cs"/>
          <w:rtl/>
        </w:rPr>
        <w:t xml:space="preserve">ברכות מ: </w:t>
      </w:r>
    </w:p>
    <w:p w:rsidRPr="00BA114D" w:rsidR="00495076" w:rsidP="00495076" w:rsidRDefault="00495076" w14:paraId="163C2179" w14:textId="77777777">
      <w:pPr>
        <w:pStyle w:val="Heading2"/>
        <w:rPr>
          <w:rtl/>
        </w:rPr>
      </w:pPr>
      <w:r>
        <w:rPr>
          <w:rFonts w:hint="cs"/>
          <w:rtl/>
        </w:rPr>
        <w:t>רש"י ברכות מ: ד"ה וידוי מעשר</w:t>
      </w:r>
    </w:p>
    <w:p w:rsidR="00495076" w:rsidP="00495076" w:rsidRDefault="46CD65E9" w14:paraId="1BDCD68E" w14:textId="77777777">
      <w:pPr>
        <w:pStyle w:val="Heading2"/>
        <w:rPr>
          <w:rtl/>
        </w:rPr>
      </w:pPr>
      <w:r w:rsidRPr="46CD65E9">
        <w:rPr>
          <w:rtl/>
        </w:rPr>
        <w:t>קהלת יעקב ברכות מ:</w:t>
      </w:r>
      <w:r w:rsidRPr="46CD65E9">
        <w:t xml:space="preserve"> </w:t>
      </w:r>
      <w:r w:rsidRPr="46CD65E9">
        <w:rPr>
          <w:sz w:val="22"/>
          <w:szCs w:val="22"/>
        </w:rPr>
        <w:t>(</w:t>
      </w:r>
      <w:hyperlink r:id="rId7">
        <w:r w:rsidRPr="46CD65E9">
          <w:rPr>
            <w:rStyle w:val="Hyperlink"/>
            <w:sz w:val="22"/>
            <w:szCs w:val="22"/>
            <w:rtl/>
          </w:rPr>
          <w:t>קישור</w:t>
        </w:r>
      </w:hyperlink>
      <w:r w:rsidRPr="46CD65E9">
        <w:rPr>
          <w:sz w:val="22"/>
          <w:szCs w:val="22"/>
        </w:rPr>
        <w:t>)</w:t>
      </w:r>
    </w:p>
    <w:p w:rsidR="00495076" w:rsidP="00495076" w:rsidRDefault="00495076" w14:paraId="021FD6E3" w14:textId="77777777">
      <w:r w:rsidRPr="00B90BD7">
        <w:rPr>
          <w:noProof/>
        </w:rPr>
        <w:drawing>
          <wp:inline distT="0" distB="0" distL="0" distR="0" wp14:anchorId="1A837904" wp14:editId="40C64AEC">
            <wp:extent cx="2383249" cy="3725597"/>
            <wp:effectExtent l="0" t="0" r="0" b="8255"/>
            <wp:docPr id="240635" name="Picture 240635" descr="http://www.otzar.org/wotzar/getimg.aspx?9089-20-700-0-1-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tzar.org/wotzar/getimg.aspx?9089-20-700-0-1-1023"/>
                    <pic:cNvPicPr>
                      <a:picLocks noChangeAspect="1" noChangeArrowheads="1"/>
                    </pic:cNvPicPr>
                  </pic:nvPicPr>
                  <pic:blipFill rotWithShape="1">
                    <a:blip r:embed="rId8">
                      <a:extLst>
                        <a:ext uri="{28A0092B-C50C-407E-A947-70E740481C1C}">
                          <a14:useLocalDpi xmlns:a14="http://schemas.microsoft.com/office/drawing/2010/main" val="0"/>
                        </a:ext>
                      </a:extLst>
                    </a:blip>
                    <a:srcRect l="49260" t="23315" b="26876"/>
                    <a:stretch/>
                  </pic:blipFill>
                  <pic:spPr bwMode="auto">
                    <a:xfrm>
                      <a:off x="0" y="0"/>
                      <a:ext cx="2391820" cy="3738996"/>
                    </a:xfrm>
                    <a:prstGeom prst="rect">
                      <a:avLst/>
                    </a:prstGeom>
                    <a:noFill/>
                    <a:ln>
                      <a:noFill/>
                    </a:ln>
                    <a:extLst>
                      <a:ext uri="{53640926-AAD7-44D8-BBD7-CCE9431645EC}">
                        <a14:shadowObscured xmlns:a14="http://schemas.microsoft.com/office/drawing/2010/main"/>
                      </a:ext>
                    </a:extLst>
                  </pic:spPr>
                </pic:pic>
              </a:graphicData>
            </a:graphic>
          </wp:inline>
        </w:drawing>
      </w:r>
    </w:p>
    <w:p w:rsidR="00972D11" w:rsidP="1D1FD8EB" w:rsidRDefault="00972D11" w14:paraId="1B418B29" w14:textId="14094F85">
      <w:pPr>
        <w:pStyle w:val="Heading2"/>
        <w:rPr>
          <w:rtl w:val="1"/>
        </w:rPr>
      </w:pPr>
      <w:proofErr w:type="spellStart"/>
      <w:r w:rsidRPr="1D1FD8EB" w:rsidR="1D1FD8EB">
        <w:rPr>
          <w:rtl w:val="1"/>
        </w:rPr>
        <w:t>מלבי"ם</w:t>
      </w:r>
      <w:proofErr w:type="spellEnd"/>
    </w:p>
    <w:p w:rsidR="1D1FD8EB" w:rsidP="1D1FD8EB" w:rsidRDefault="1D1FD8EB" w14:paraId="69280713" w14:textId="6BDCC5F0">
      <w:pPr>
        <w:pStyle w:val="Normal"/>
        <w:rPr>
          <w:rtl w:val="1"/>
        </w:rPr>
      </w:pPr>
    </w:p>
    <w:p w:rsidR="00A61538" w:rsidP="00A61538" w:rsidRDefault="00A61538" w14:paraId="27317715" w14:textId="199FD2D2">
      <w:pPr>
        <w:pStyle w:val="Heading1"/>
        <w:rPr>
          <w:rtl/>
        </w:rPr>
      </w:pPr>
      <w:bookmarkStart w:name="_Toc497159231" w:id="0"/>
      <w:r>
        <w:rPr>
          <w:rFonts w:hint="cs"/>
          <w:rtl/>
        </w:rPr>
        <w:t xml:space="preserve">חופה ונישואין </w:t>
      </w:r>
      <w:r>
        <w:rPr>
          <w:rtl/>
        </w:rPr>
        <w:t>–</w:t>
      </w:r>
      <w:r>
        <w:rPr>
          <w:rFonts w:hint="cs"/>
          <w:rtl/>
        </w:rPr>
        <w:t xml:space="preserve"> ברכת </w:t>
      </w:r>
      <w:proofErr w:type="spellStart"/>
      <w:r>
        <w:rPr>
          <w:rFonts w:hint="cs"/>
          <w:rtl/>
        </w:rPr>
        <w:t>ארוסין</w:t>
      </w:r>
      <w:proofErr w:type="spellEnd"/>
      <w:r>
        <w:rPr>
          <w:rFonts w:hint="cs"/>
          <w:rtl/>
        </w:rPr>
        <w:t xml:space="preserve"> ושבע ברכות </w:t>
      </w:r>
      <w:r>
        <w:rPr>
          <w:rtl/>
        </w:rPr>
        <w:t>–</w:t>
      </w:r>
      <w:r>
        <w:rPr>
          <w:rFonts w:hint="cs"/>
          <w:rtl/>
        </w:rPr>
        <w:t xml:space="preserve"> עשרה</w:t>
      </w:r>
    </w:p>
    <w:p w:rsidR="00A61538" w:rsidP="00A61538" w:rsidRDefault="00A61538" w14:paraId="2FB21767" w14:textId="77777777">
      <w:pPr>
        <w:pStyle w:val="Heading2"/>
        <w:rPr>
          <w:rtl/>
        </w:rPr>
      </w:pPr>
      <w:r>
        <w:rPr>
          <w:rFonts w:hint="cs"/>
          <w:rtl/>
        </w:rPr>
        <w:t>תוספות כתובות ז: ד"ה שנאמר</w:t>
      </w:r>
    </w:p>
    <w:p w:rsidRPr="001A0FA3" w:rsidR="00A61538" w:rsidP="00A61538" w:rsidRDefault="00A61538" w14:paraId="5E389BCA" w14:textId="77777777">
      <w:pPr>
        <w:rPr>
          <w:rtl/>
        </w:rPr>
      </w:pPr>
      <w:r w:rsidRPr="001A0FA3">
        <w:rPr>
          <w:rtl/>
        </w:rPr>
        <w:t xml:space="preserve">שנאמר </w:t>
      </w:r>
      <w:proofErr w:type="spellStart"/>
      <w:r w:rsidRPr="001A0FA3">
        <w:rPr>
          <w:rtl/>
        </w:rPr>
        <w:t>ויקח</w:t>
      </w:r>
      <w:proofErr w:type="spellEnd"/>
      <w:r w:rsidRPr="001A0FA3">
        <w:rPr>
          <w:rtl/>
        </w:rPr>
        <w:t xml:space="preserve"> בועז עשרה אנשים - ובמסכת כלה </w:t>
      </w:r>
      <w:proofErr w:type="spellStart"/>
      <w:r w:rsidRPr="001A0FA3">
        <w:rPr>
          <w:rtl/>
        </w:rPr>
        <w:t>דמייתי</w:t>
      </w:r>
      <w:proofErr w:type="spellEnd"/>
      <w:r w:rsidRPr="001A0FA3">
        <w:rPr>
          <w:rtl/>
        </w:rPr>
        <w:t xml:space="preserve"> קרא </w:t>
      </w:r>
      <w:proofErr w:type="spellStart"/>
      <w:r w:rsidRPr="001A0FA3">
        <w:rPr>
          <w:rtl/>
        </w:rPr>
        <w:t>דויברכו</w:t>
      </w:r>
      <w:proofErr w:type="spellEnd"/>
      <w:r w:rsidRPr="001A0FA3">
        <w:rPr>
          <w:rtl/>
        </w:rPr>
        <w:t xml:space="preserve"> את רבקה (בראשית כד) איכא </w:t>
      </w:r>
      <w:proofErr w:type="spellStart"/>
      <w:r w:rsidRPr="001A0FA3">
        <w:rPr>
          <w:rtl/>
        </w:rPr>
        <w:t>למימר</w:t>
      </w:r>
      <w:proofErr w:type="spellEnd"/>
      <w:r w:rsidRPr="001A0FA3">
        <w:rPr>
          <w:rtl/>
        </w:rPr>
        <w:t xml:space="preserve"> </w:t>
      </w:r>
      <w:proofErr w:type="spellStart"/>
      <w:r w:rsidRPr="001A0FA3">
        <w:rPr>
          <w:rtl/>
        </w:rPr>
        <w:t>דהתם</w:t>
      </w:r>
      <w:proofErr w:type="spellEnd"/>
      <w:r w:rsidRPr="001A0FA3">
        <w:rPr>
          <w:rtl/>
        </w:rPr>
        <w:t xml:space="preserve"> ברכת אירוסין </w:t>
      </w:r>
      <w:proofErr w:type="spellStart"/>
      <w:r w:rsidRPr="001A0FA3">
        <w:rPr>
          <w:rtl/>
        </w:rPr>
        <w:t>והכא</w:t>
      </w:r>
      <w:proofErr w:type="spellEnd"/>
      <w:r w:rsidRPr="001A0FA3">
        <w:rPr>
          <w:rtl/>
        </w:rPr>
        <w:t xml:space="preserve"> ברכת נישואין ויש ללמוד משם שיש לברך ברכת אירוסין לאשה המתקדשת על ידי שליח שהרי אליעזר שליח היה ונראה </w:t>
      </w:r>
      <w:proofErr w:type="spellStart"/>
      <w:r w:rsidRPr="001A0FA3">
        <w:rPr>
          <w:rtl/>
        </w:rPr>
        <w:t>דאסמכתא</w:t>
      </w:r>
      <w:proofErr w:type="spellEnd"/>
      <w:r w:rsidRPr="001A0FA3">
        <w:rPr>
          <w:rtl/>
        </w:rPr>
        <w:t xml:space="preserve"> בעלמא היא </w:t>
      </w:r>
      <w:proofErr w:type="spellStart"/>
      <w:r w:rsidRPr="001A0FA3">
        <w:rPr>
          <w:rtl/>
        </w:rPr>
        <w:t>דעשרה</w:t>
      </w:r>
      <w:proofErr w:type="spellEnd"/>
      <w:r w:rsidRPr="001A0FA3">
        <w:rPr>
          <w:rtl/>
        </w:rPr>
        <w:t xml:space="preserve"> לא </w:t>
      </w:r>
      <w:proofErr w:type="spellStart"/>
      <w:r w:rsidRPr="001A0FA3">
        <w:rPr>
          <w:rtl/>
        </w:rPr>
        <w:t>מישתמע</w:t>
      </w:r>
      <w:proofErr w:type="spellEnd"/>
      <w:r w:rsidRPr="001A0FA3">
        <w:rPr>
          <w:rtl/>
        </w:rPr>
        <w:t xml:space="preserve"> מהתם ולא איירי פשטיה </w:t>
      </w:r>
      <w:proofErr w:type="spellStart"/>
      <w:r w:rsidRPr="001A0FA3">
        <w:rPr>
          <w:rtl/>
        </w:rPr>
        <w:t>דקרא</w:t>
      </w:r>
      <w:proofErr w:type="spellEnd"/>
      <w:r w:rsidRPr="001A0FA3">
        <w:rPr>
          <w:rtl/>
        </w:rPr>
        <w:t xml:space="preserve"> בברכת אירוסין.</w:t>
      </w:r>
    </w:p>
    <w:p w:rsidR="00E63996" w:rsidP="00E63996" w:rsidRDefault="00E63996" w14:paraId="26C58DB2" w14:textId="77777777">
      <w:pPr>
        <w:pStyle w:val="Heading1"/>
        <w:rPr>
          <w:rtl/>
        </w:rPr>
      </w:pPr>
      <w:r>
        <w:rPr>
          <w:rFonts w:hint="cs"/>
          <w:rtl/>
        </w:rPr>
        <w:t xml:space="preserve">קידושין </w:t>
      </w:r>
      <w:r>
        <w:rPr>
          <w:rtl/>
        </w:rPr>
        <w:t>–</w:t>
      </w:r>
      <w:r>
        <w:rPr>
          <w:rFonts w:hint="cs"/>
          <w:rtl/>
        </w:rPr>
        <w:t xml:space="preserve"> לישנא דרבנן</w:t>
      </w:r>
      <w:bookmarkEnd w:id="0"/>
    </w:p>
    <w:p w:rsidR="00E63996" w:rsidP="00E63996" w:rsidRDefault="00E63996" w14:paraId="03D9B099" w14:textId="4475B3F6">
      <w:pPr>
        <w:pStyle w:val="Heading4"/>
        <w:rPr>
          <w:rtl/>
        </w:rPr>
      </w:pPr>
      <w:r>
        <w:rPr>
          <w:rFonts w:hint="cs"/>
          <w:rtl/>
        </w:rPr>
        <w:t>קידושין ב:</w:t>
      </w:r>
    </w:p>
    <w:p w:rsidR="00E63996" w:rsidP="00E63996" w:rsidRDefault="00E63996" w14:paraId="14932D1D" w14:textId="77777777">
      <w:pPr>
        <w:pStyle w:val="Heading4"/>
        <w:rPr>
          <w:rtl/>
        </w:rPr>
      </w:pPr>
      <w:r>
        <w:rPr>
          <w:rFonts w:hint="cs"/>
          <w:rtl/>
        </w:rPr>
        <w:lastRenderedPageBreak/>
        <w:t xml:space="preserve">כוזרי מאמר ג' אות מח </w:t>
      </w:r>
      <w:r>
        <w:rPr>
          <w:rtl/>
        </w:rPr>
        <w:t>–</w:t>
      </w:r>
      <w:r>
        <w:rPr>
          <w:rFonts w:hint="cs"/>
          <w:rtl/>
        </w:rPr>
        <w:t xml:space="preserve"> מט</w:t>
      </w:r>
      <w:r>
        <w:rPr>
          <w:rStyle w:val="FootnoteReference"/>
          <w:rtl/>
        </w:rPr>
        <w:footnoteReference w:id="2"/>
      </w:r>
    </w:p>
    <w:p w:rsidRPr="0098143E" w:rsidR="00E63996" w:rsidP="00E63996" w:rsidRDefault="00E63996" w14:paraId="6D365D5E" w14:textId="77777777">
      <w:pPr>
        <w:rPr>
          <w:rtl/>
        </w:rPr>
      </w:pPr>
      <w:r>
        <w:rPr>
          <w:rFonts w:hint="cs"/>
          <w:rtl/>
        </w:rPr>
        <w:t xml:space="preserve">מח. </w:t>
      </w:r>
      <w:r w:rsidRPr="0098143E">
        <w:rPr>
          <w:rtl/>
        </w:rPr>
        <w:t xml:space="preserve">אמר הכוזרי: עם כל זה טוב הוא בעיני לדעת למה </w:t>
      </w:r>
      <w:proofErr w:type="spellStart"/>
      <w:r w:rsidRPr="0098143E">
        <w:rPr>
          <w:rtl/>
        </w:rPr>
        <w:t>צוה</w:t>
      </w:r>
      <w:proofErr w:type="spellEnd"/>
      <w:r w:rsidRPr="0098143E">
        <w:rPr>
          <w:rtl/>
        </w:rPr>
        <w:t xml:space="preserve"> השם השמירה מן הטומאות.  </w:t>
      </w:r>
    </w:p>
    <w:p w:rsidRPr="0098143E" w:rsidR="00E63996" w:rsidP="00E63996" w:rsidRDefault="00E63996" w14:paraId="59A8C2F4" w14:textId="77777777">
      <w:pPr>
        <w:rPr>
          <w:rtl/>
        </w:rPr>
      </w:pPr>
      <w:r w:rsidRPr="0098143E">
        <w:rPr>
          <w:rtl/>
        </w:rPr>
        <w:t xml:space="preserve">מט. אמר החבר: הטומאה והקדושה שני </w:t>
      </w:r>
      <w:proofErr w:type="spellStart"/>
      <w:r w:rsidRPr="0098143E">
        <w:rPr>
          <w:rtl/>
        </w:rPr>
        <w:t>ענינים</w:t>
      </w:r>
      <w:proofErr w:type="spellEnd"/>
      <w:r w:rsidRPr="0098143E">
        <w:rPr>
          <w:rtl/>
        </w:rPr>
        <w:t xml:space="preserve"> זה כנגד זה, לא ימצא האחד אלא </w:t>
      </w:r>
      <w:proofErr w:type="spellStart"/>
      <w:r w:rsidRPr="0098143E">
        <w:rPr>
          <w:rtl/>
        </w:rPr>
        <w:t>בהמצא</w:t>
      </w:r>
      <w:proofErr w:type="spellEnd"/>
      <w:r w:rsidRPr="0098143E">
        <w:rPr>
          <w:rtl/>
        </w:rPr>
        <w:t xml:space="preserve"> השני, ומקום שאין קדושה אין טומאה, כי ענין הטומאה איננו כי אם דבר שאסר על בעליו לנגוע בדבר מדברי הקדושה ממה שהוא מקודש </w:t>
      </w:r>
      <w:proofErr w:type="spellStart"/>
      <w:r w:rsidRPr="0098143E">
        <w:rPr>
          <w:rtl/>
        </w:rPr>
        <w:t>לאלהים</w:t>
      </w:r>
      <w:proofErr w:type="spellEnd"/>
      <w:r w:rsidRPr="0098143E">
        <w:rPr>
          <w:rtl/>
        </w:rPr>
        <w:t xml:space="preserve">, כמו </w:t>
      </w:r>
      <w:proofErr w:type="spellStart"/>
      <w:r w:rsidRPr="0098143E">
        <w:rPr>
          <w:rtl/>
        </w:rPr>
        <w:t>הכהנים</w:t>
      </w:r>
      <w:proofErr w:type="spellEnd"/>
      <w:r w:rsidRPr="0098143E">
        <w:rPr>
          <w:rtl/>
        </w:rPr>
        <w:t xml:space="preserve"> ומאכלם ומלבושם והתרומות והקרבנות ובית המקדש וזולת זה הרבה. וכן ענין הקדושה דבר שאסר על בעליו לנגוע בדברים רבים ידועים ומפורסמים, ורב מהם תלויים במעמד השכינה, וכבר חסרנו אותה, ומה שאצלנו היום מאיסור שכיבת הנדה והיולדת, אינו מפני הטומאה אבל היא מצוה גרידה מאת הבורא</w:t>
      </w:r>
      <w:r>
        <w:rPr>
          <w:rFonts w:hint="cs"/>
          <w:rtl/>
        </w:rPr>
        <w:t>...</w:t>
      </w:r>
    </w:p>
    <w:p w:rsidRPr="00946612" w:rsidR="00E63996" w:rsidP="00E63996" w:rsidRDefault="00E63996" w14:paraId="3A4BE262" w14:textId="77777777">
      <w:pPr>
        <w:pStyle w:val="Heading4"/>
        <w:rPr>
          <w:rtl/>
        </w:rPr>
      </w:pPr>
      <w:r>
        <w:rPr>
          <w:rFonts w:hint="cs"/>
          <w:rtl/>
        </w:rPr>
        <w:t xml:space="preserve">שו"ת אבני נזר אבן העזר סימן </w:t>
      </w:r>
      <w:proofErr w:type="spellStart"/>
      <w:r>
        <w:rPr>
          <w:rFonts w:hint="cs"/>
          <w:rtl/>
        </w:rPr>
        <w:t>רמ</w:t>
      </w:r>
      <w:proofErr w:type="spellEnd"/>
    </w:p>
    <w:p w:rsidRPr="00946612" w:rsidR="00E63996" w:rsidP="00E63996" w:rsidRDefault="00E63996" w14:paraId="0C3897FB" w14:textId="77777777">
      <w:pPr>
        <w:rPr>
          <w:rtl/>
        </w:rPr>
      </w:pPr>
      <w:r>
        <w:rPr>
          <w:rFonts w:hint="cs"/>
          <w:rtl/>
        </w:rPr>
        <w:t>...</w:t>
      </w:r>
    </w:p>
    <w:p w:rsidRPr="00946612" w:rsidR="00E63996" w:rsidP="00E63996" w:rsidRDefault="00E63996" w14:paraId="722B2B82" w14:textId="77777777">
      <w:pPr>
        <w:rPr>
          <w:rtl/>
        </w:rPr>
      </w:pPr>
      <w:r w:rsidRPr="00946612">
        <w:rPr>
          <w:rtl/>
        </w:rPr>
        <w:t xml:space="preserve">  ה) אך יש לדון באיסור עשה </w:t>
      </w:r>
      <w:proofErr w:type="spellStart"/>
      <w:r w:rsidRPr="00946612">
        <w:rPr>
          <w:rtl/>
        </w:rPr>
        <w:t>דונטמאה</w:t>
      </w:r>
      <w:proofErr w:type="spellEnd"/>
      <w:r w:rsidRPr="00946612">
        <w:rPr>
          <w:rtl/>
        </w:rPr>
        <w:t xml:space="preserve"> אם עובר בלא קידושין, והנה ראיתי באבני </w:t>
      </w:r>
      <w:proofErr w:type="spellStart"/>
      <w:r w:rsidRPr="00946612">
        <w:rPr>
          <w:rtl/>
        </w:rPr>
        <w:t>מלואים</w:t>
      </w:r>
      <w:proofErr w:type="spellEnd"/>
      <w:r w:rsidRPr="00946612">
        <w:rPr>
          <w:rtl/>
        </w:rPr>
        <w:t xml:space="preserve"> שם וז"ל </w:t>
      </w:r>
      <w:proofErr w:type="spellStart"/>
      <w:r w:rsidRPr="00946612">
        <w:rPr>
          <w:rtl/>
        </w:rPr>
        <w:t>והרשב"א</w:t>
      </w:r>
      <w:proofErr w:type="spellEnd"/>
      <w:r w:rsidRPr="00946612">
        <w:rPr>
          <w:rtl/>
        </w:rPr>
        <w:t xml:space="preserve"> </w:t>
      </w:r>
      <w:proofErr w:type="spellStart"/>
      <w:r w:rsidRPr="00946612">
        <w:rPr>
          <w:rtl/>
        </w:rPr>
        <w:t>דמיירי</w:t>
      </w:r>
      <w:proofErr w:type="spellEnd"/>
      <w:r w:rsidRPr="00946612">
        <w:rPr>
          <w:rtl/>
        </w:rPr>
        <w:t xml:space="preserve"> בבועל </w:t>
      </w:r>
      <w:proofErr w:type="spellStart"/>
      <w:r w:rsidRPr="00946612">
        <w:rPr>
          <w:rtl/>
        </w:rPr>
        <w:t>דאיכא</w:t>
      </w:r>
      <w:proofErr w:type="spellEnd"/>
      <w:r w:rsidRPr="00946612">
        <w:rPr>
          <w:rtl/>
        </w:rPr>
        <w:t xml:space="preserve"> איסור עשה איכא </w:t>
      </w:r>
      <w:proofErr w:type="spellStart"/>
      <w:r w:rsidRPr="00946612">
        <w:rPr>
          <w:rtl/>
        </w:rPr>
        <w:t>למימר</w:t>
      </w:r>
      <w:proofErr w:type="spellEnd"/>
      <w:r w:rsidRPr="00946612">
        <w:rPr>
          <w:rtl/>
        </w:rPr>
        <w:t xml:space="preserve"> </w:t>
      </w:r>
      <w:proofErr w:type="spellStart"/>
      <w:r w:rsidRPr="00946612">
        <w:rPr>
          <w:rtl/>
        </w:rPr>
        <w:t>דבעל</w:t>
      </w:r>
      <w:proofErr w:type="spellEnd"/>
      <w:r w:rsidRPr="00946612">
        <w:rPr>
          <w:rtl/>
        </w:rPr>
        <w:t xml:space="preserve"> </w:t>
      </w:r>
      <w:proofErr w:type="spellStart"/>
      <w:r w:rsidRPr="00946612">
        <w:rPr>
          <w:rtl/>
        </w:rPr>
        <w:t>נמי</w:t>
      </w:r>
      <w:proofErr w:type="spellEnd"/>
      <w:r w:rsidRPr="00946612">
        <w:rPr>
          <w:rtl/>
        </w:rPr>
        <w:t xml:space="preserve"> עובר בעשה, הנה </w:t>
      </w:r>
      <w:proofErr w:type="spellStart"/>
      <w:r w:rsidRPr="00946612">
        <w:rPr>
          <w:rtl/>
        </w:rPr>
        <w:t>דמספקא</w:t>
      </w:r>
      <w:proofErr w:type="spellEnd"/>
      <w:r w:rsidRPr="00946612">
        <w:rPr>
          <w:rtl/>
        </w:rPr>
        <w:t xml:space="preserve"> לי' אם עובר בבעילה לבד בעשה, </w:t>
      </w:r>
      <w:proofErr w:type="spellStart"/>
      <w:r w:rsidRPr="00946612">
        <w:rPr>
          <w:rtl/>
        </w:rPr>
        <w:t>ולפענ"ד</w:t>
      </w:r>
      <w:proofErr w:type="spellEnd"/>
      <w:r w:rsidRPr="00946612">
        <w:rPr>
          <w:rtl/>
        </w:rPr>
        <w:t xml:space="preserve"> נראה דאינו עובר, דאף </w:t>
      </w:r>
      <w:proofErr w:type="spellStart"/>
      <w:r w:rsidRPr="00946612">
        <w:rPr>
          <w:rtl/>
        </w:rPr>
        <w:t>דנטמאת</w:t>
      </w:r>
      <w:proofErr w:type="spellEnd"/>
      <w:r w:rsidRPr="00946612">
        <w:rPr>
          <w:rtl/>
        </w:rPr>
        <w:t xml:space="preserve"> הלא </w:t>
      </w:r>
      <w:proofErr w:type="spellStart"/>
      <w:r w:rsidRPr="00946612">
        <w:rPr>
          <w:rtl/>
        </w:rPr>
        <w:t>לר</w:t>
      </w:r>
      <w:proofErr w:type="spellEnd"/>
      <w:r w:rsidRPr="00946612">
        <w:rPr>
          <w:rtl/>
        </w:rPr>
        <w:t xml:space="preserve">' יוסי בן כיפר </w:t>
      </w:r>
      <w:proofErr w:type="spellStart"/>
      <w:r w:rsidRPr="00946612">
        <w:rPr>
          <w:rtl/>
        </w:rPr>
        <w:t>דטומאה</w:t>
      </w:r>
      <w:proofErr w:type="spellEnd"/>
      <w:r w:rsidRPr="00946612">
        <w:rPr>
          <w:rtl/>
        </w:rPr>
        <w:t xml:space="preserve"> במחזיר גרושתו </w:t>
      </w:r>
      <w:proofErr w:type="spellStart"/>
      <w:r w:rsidRPr="00946612">
        <w:rPr>
          <w:rtl/>
        </w:rPr>
        <w:t>כתיבא</w:t>
      </w:r>
      <w:proofErr w:type="spellEnd"/>
      <w:r w:rsidRPr="00946612">
        <w:rPr>
          <w:rtl/>
        </w:rPr>
        <w:t xml:space="preserve">, וכן </w:t>
      </w:r>
      <w:proofErr w:type="spellStart"/>
      <w:r w:rsidRPr="00946612">
        <w:rPr>
          <w:rtl/>
        </w:rPr>
        <w:t>ללישנא</w:t>
      </w:r>
      <w:proofErr w:type="spellEnd"/>
      <w:r w:rsidRPr="00946612">
        <w:rPr>
          <w:rtl/>
        </w:rPr>
        <w:t xml:space="preserve"> קמא </w:t>
      </w:r>
      <w:proofErr w:type="spellStart"/>
      <w:r w:rsidRPr="00946612">
        <w:rPr>
          <w:rtl/>
        </w:rPr>
        <w:t>דפ"ק</w:t>
      </w:r>
      <w:proofErr w:type="spellEnd"/>
      <w:r w:rsidRPr="00946612">
        <w:rPr>
          <w:rtl/>
        </w:rPr>
        <w:t xml:space="preserve"> </w:t>
      </w:r>
      <w:proofErr w:type="spellStart"/>
      <w:r w:rsidRPr="00946612">
        <w:rPr>
          <w:rtl/>
        </w:rPr>
        <w:t>דיבמות</w:t>
      </w:r>
      <w:proofErr w:type="spellEnd"/>
      <w:r w:rsidRPr="00946612">
        <w:rPr>
          <w:rtl/>
        </w:rPr>
        <w:t xml:space="preserve"> </w:t>
      </w:r>
      <w:proofErr w:type="spellStart"/>
      <w:r w:rsidRPr="00946612">
        <w:rPr>
          <w:rtl/>
        </w:rPr>
        <w:t>דאפי</w:t>
      </w:r>
      <w:proofErr w:type="spellEnd"/>
      <w:r w:rsidRPr="00946612">
        <w:rPr>
          <w:rtl/>
        </w:rPr>
        <w:t xml:space="preserve">' </w:t>
      </w:r>
      <w:proofErr w:type="spellStart"/>
      <w:r w:rsidRPr="00946612">
        <w:rPr>
          <w:rtl/>
        </w:rPr>
        <w:t>לרבנן</w:t>
      </w:r>
      <w:proofErr w:type="spellEnd"/>
      <w:r w:rsidRPr="00946612">
        <w:rPr>
          <w:rtl/>
        </w:rPr>
        <w:t xml:space="preserve"> </w:t>
      </w:r>
      <w:proofErr w:type="spellStart"/>
      <w:r w:rsidRPr="00946612">
        <w:rPr>
          <w:rtl/>
        </w:rPr>
        <w:t>דאחרי</w:t>
      </w:r>
      <w:proofErr w:type="spellEnd"/>
      <w:r w:rsidRPr="00946612">
        <w:rPr>
          <w:rtl/>
        </w:rPr>
        <w:t xml:space="preserve"> אשר </w:t>
      </w:r>
      <w:proofErr w:type="spellStart"/>
      <w:r w:rsidRPr="00946612">
        <w:rPr>
          <w:rtl/>
        </w:rPr>
        <w:t>הוטמאה</w:t>
      </w:r>
      <w:proofErr w:type="spellEnd"/>
      <w:r w:rsidRPr="00946612">
        <w:rPr>
          <w:rtl/>
        </w:rPr>
        <w:t xml:space="preserve"> לרבות סוטה שנבעלה מ"מ אין מקרא יוצא מידי פשוטו </w:t>
      </w:r>
      <w:proofErr w:type="spellStart"/>
      <w:r w:rsidRPr="00946612">
        <w:rPr>
          <w:rtl/>
        </w:rPr>
        <w:t>וקאי</w:t>
      </w:r>
      <w:proofErr w:type="spellEnd"/>
      <w:r w:rsidRPr="00946612">
        <w:rPr>
          <w:rtl/>
        </w:rPr>
        <w:t xml:space="preserve"> טומאה גם על מחזיר גרושתו, מ"מ אין איסור מדאורייתא בלא קידושין, (והטעם בזה פשוט </w:t>
      </w:r>
      <w:proofErr w:type="spellStart"/>
      <w:r w:rsidRPr="00946612">
        <w:rPr>
          <w:rtl/>
        </w:rPr>
        <w:t>דאין</w:t>
      </w:r>
      <w:proofErr w:type="spellEnd"/>
      <w:r w:rsidRPr="00946612">
        <w:rPr>
          <w:rtl/>
        </w:rPr>
        <w:t xml:space="preserve"> טומאה כי אם במקום קדושה וכמו שהאריך בזה בספר הכוזרי [מאמר ג' סי' מ"ט] </w:t>
      </w:r>
      <w:proofErr w:type="spellStart"/>
      <w:r w:rsidRPr="00946612">
        <w:rPr>
          <w:rtl/>
        </w:rPr>
        <w:t>בענין</w:t>
      </w:r>
      <w:proofErr w:type="spellEnd"/>
      <w:r w:rsidRPr="00946612">
        <w:rPr>
          <w:rtl/>
        </w:rPr>
        <w:t xml:space="preserve"> נדה </w:t>
      </w:r>
      <w:proofErr w:type="spellStart"/>
      <w:r w:rsidRPr="00946612">
        <w:rPr>
          <w:rtl/>
        </w:rPr>
        <w:t>דלאו</w:t>
      </w:r>
      <w:proofErr w:type="spellEnd"/>
      <w:r w:rsidRPr="00946612">
        <w:rPr>
          <w:rtl/>
        </w:rPr>
        <w:t xml:space="preserve"> משום טומאה </w:t>
      </w:r>
      <w:proofErr w:type="spellStart"/>
      <w:r w:rsidRPr="00946612">
        <w:rPr>
          <w:rtl/>
        </w:rPr>
        <w:t>דאין</w:t>
      </w:r>
      <w:proofErr w:type="spellEnd"/>
      <w:r w:rsidRPr="00946612">
        <w:rPr>
          <w:rtl/>
        </w:rPr>
        <w:t xml:space="preserve"> טומאה כי אם בקדשים, וע"כ מבואר בפוסקים </w:t>
      </w:r>
      <w:proofErr w:type="spellStart"/>
      <w:r w:rsidRPr="00946612">
        <w:rPr>
          <w:rtl/>
        </w:rPr>
        <w:t>דספק</w:t>
      </w:r>
      <w:proofErr w:type="spellEnd"/>
      <w:r w:rsidRPr="00946612">
        <w:rPr>
          <w:rtl/>
        </w:rPr>
        <w:t xml:space="preserve"> נדה לבעלה לא חשוב ספק טומאה ברה"י, וכבר הארכתי בזה במקום אחר. [עי' </w:t>
      </w:r>
      <w:proofErr w:type="spellStart"/>
      <w:r w:rsidRPr="00946612">
        <w:rPr>
          <w:rtl/>
        </w:rPr>
        <w:t>אבנ"ז</w:t>
      </w:r>
      <w:proofErr w:type="spellEnd"/>
      <w:r w:rsidRPr="00946612">
        <w:rPr>
          <w:rtl/>
        </w:rPr>
        <w:t xml:space="preserve"> </w:t>
      </w:r>
      <w:proofErr w:type="spellStart"/>
      <w:r w:rsidRPr="00946612">
        <w:rPr>
          <w:rtl/>
        </w:rPr>
        <w:t>חו"מ</w:t>
      </w:r>
      <w:proofErr w:type="spellEnd"/>
      <w:r w:rsidRPr="00946612">
        <w:rPr>
          <w:rtl/>
        </w:rPr>
        <w:t xml:space="preserve"> סי' קל"ט]):  </w:t>
      </w:r>
    </w:p>
    <w:p w:rsidRPr="00946612" w:rsidR="00E63996" w:rsidP="00E63996" w:rsidRDefault="00E63996" w14:paraId="7D310452" w14:textId="77777777">
      <w:pPr>
        <w:rPr>
          <w:rtl/>
        </w:rPr>
      </w:pPr>
      <w:r w:rsidRPr="00946612">
        <w:rPr>
          <w:rtl/>
        </w:rPr>
        <w:t xml:space="preserve">  ו) וע"כ סוטה </w:t>
      </w:r>
      <w:proofErr w:type="spellStart"/>
      <w:r w:rsidRPr="00946612">
        <w:rPr>
          <w:rtl/>
        </w:rPr>
        <w:t>דהאיסור</w:t>
      </w:r>
      <w:proofErr w:type="spellEnd"/>
      <w:r w:rsidRPr="00946612">
        <w:rPr>
          <w:rtl/>
        </w:rPr>
        <w:t xml:space="preserve"> לבעלה משום טומאה, דווקא שקידשה, וכן מחזיר גרושתו אין איסור אלא א"כ קידשה אח"כ, וע"כ סוטה לבועל ג"כ אין איסור אא"כ קידשה, וכן סוטה לבעלה אחר שגירשה אין איסור אא"כ קידשה, שבתורה לא נכתב האיסור רק שהיא טמאה, ומה בכך שהיא טמאה, מ"מ אין איסור אלא בקידושין וכמו במחזיר גרושתו משנשאת דאף שנטמאה אין איסור כי אם בקידושין:  </w:t>
      </w:r>
    </w:p>
    <w:p w:rsidRPr="00946612" w:rsidR="00E63996" w:rsidP="00E63996" w:rsidRDefault="00E63996" w14:paraId="2CD37D92" w14:textId="53799E8F">
      <w:pPr>
        <w:rPr>
          <w:rtl/>
        </w:rPr>
      </w:pPr>
      <w:r w:rsidRPr="00946612">
        <w:rPr>
          <w:rtl/>
        </w:rPr>
        <w:t xml:space="preserve">  ח) העולה מכל זה </w:t>
      </w:r>
      <w:proofErr w:type="spellStart"/>
      <w:r w:rsidRPr="00946612">
        <w:rPr>
          <w:rtl/>
        </w:rPr>
        <w:t>דבסוטה</w:t>
      </w:r>
      <w:proofErr w:type="spellEnd"/>
      <w:r w:rsidRPr="00946612">
        <w:rPr>
          <w:rtl/>
        </w:rPr>
        <w:t xml:space="preserve"> אין איסור בביאה לבד רק עם קידושין, היינו שבא עלי' קודם שגירשה או שקידשה אח"כ, ואף </w:t>
      </w:r>
      <w:proofErr w:type="spellStart"/>
      <w:r w:rsidRPr="00946612">
        <w:rPr>
          <w:rtl/>
        </w:rPr>
        <w:t>את"ל</w:t>
      </w:r>
      <w:proofErr w:type="spellEnd"/>
      <w:r w:rsidRPr="00946612">
        <w:rPr>
          <w:rtl/>
        </w:rPr>
        <w:t xml:space="preserve"> </w:t>
      </w:r>
      <w:proofErr w:type="spellStart"/>
      <w:r w:rsidRPr="00946612">
        <w:rPr>
          <w:rtl/>
        </w:rPr>
        <w:t>דאיסור</w:t>
      </w:r>
      <w:proofErr w:type="spellEnd"/>
      <w:r w:rsidRPr="00946612">
        <w:rPr>
          <w:rtl/>
        </w:rPr>
        <w:t xml:space="preserve"> סוטה אפי' לא קידשה אחר הגירושין מ"מ אין איסור רק </w:t>
      </w:r>
      <w:proofErr w:type="spellStart"/>
      <w:r w:rsidRPr="7516BDF1" w:rsidR="7516BDF1">
        <w:rPr>
          <w:rtl/>
        </w:rPr>
        <w:t>מחמתפדושין</w:t>
      </w:r>
      <w:proofErr w:type="spellEnd"/>
      <w:r w:rsidRPr="00946612">
        <w:rPr>
          <w:rtl/>
        </w:rPr>
        <w:t xml:space="preserve">, רק לביאה גרידא, אפי' בלא קידושין ודאי חולין הוא, אבל סוטה </w:t>
      </w:r>
      <w:proofErr w:type="spellStart"/>
      <w:r w:rsidRPr="00946612">
        <w:rPr>
          <w:rtl/>
        </w:rPr>
        <w:t>דהאיסור</w:t>
      </w:r>
      <w:proofErr w:type="spellEnd"/>
      <w:r w:rsidRPr="00946612">
        <w:rPr>
          <w:rtl/>
        </w:rPr>
        <w:t xml:space="preserve"> רק לבעלה שמקודשת לו, וקידושין כמו הקדש </w:t>
      </w:r>
      <w:proofErr w:type="spellStart"/>
      <w:r w:rsidRPr="00946612">
        <w:rPr>
          <w:rtl/>
        </w:rPr>
        <w:t>דאסר</w:t>
      </w:r>
      <w:proofErr w:type="spellEnd"/>
      <w:r w:rsidRPr="00946612">
        <w:rPr>
          <w:rtl/>
        </w:rPr>
        <w:t xml:space="preserve"> לה </w:t>
      </w:r>
      <w:proofErr w:type="spellStart"/>
      <w:r w:rsidRPr="00946612">
        <w:rPr>
          <w:rtl/>
        </w:rPr>
        <w:t>אכולי</w:t>
      </w:r>
      <w:proofErr w:type="spellEnd"/>
      <w:r w:rsidRPr="00946612">
        <w:rPr>
          <w:rtl/>
        </w:rPr>
        <w:t xml:space="preserve"> עלמא כהקדש [ובגמ' [קידושין ז ע"א] פריך ונפשטו קידושין בכולה דמדמי לי' לקרבן], וכיון דהוי קדושה ע"כ אסור בו טומאה, והיא לבעלה קדשים בטומאה, ובסוטה (ו' ע"א) </w:t>
      </w:r>
      <w:proofErr w:type="spellStart"/>
      <w:r w:rsidRPr="00946612">
        <w:rPr>
          <w:rtl/>
        </w:rPr>
        <w:t>פירש"י</w:t>
      </w:r>
      <w:proofErr w:type="spellEnd"/>
      <w:r w:rsidRPr="00946612">
        <w:rPr>
          <w:rtl/>
        </w:rPr>
        <w:t xml:space="preserve"> </w:t>
      </w:r>
      <w:proofErr w:type="spellStart"/>
      <w:r w:rsidRPr="00946612">
        <w:rPr>
          <w:rtl/>
        </w:rPr>
        <w:t>דסוטה</w:t>
      </w:r>
      <w:proofErr w:type="spellEnd"/>
      <w:r w:rsidRPr="00946612">
        <w:rPr>
          <w:rtl/>
        </w:rPr>
        <w:t xml:space="preserve"> נתקלקלו </w:t>
      </w:r>
      <w:proofErr w:type="spellStart"/>
      <w:r w:rsidRPr="00946612">
        <w:rPr>
          <w:rtl/>
        </w:rPr>
        <w:t>הנשואין</w:t>
      </w:r>
      <w:proofErr w:type="spellEnd"/>
      <w:r w:rsidRPr="00946612">
        <w:rPr>
          <w:rtl/>
        </w:rPr>
        <w:t xml:space="preserve"> עיי"ש, הרי </w:t>
      </w:r>
      <w:proofErr w:type="spellStart"/>
      <w:r w:rsidRPr="00946612">
        <w:rPr>
          <w:rtl/>
        </w:rPr>
        <w:t>דהאיסור</w:t>
      </w:r>
      <w:proofErr w:type="spellEnd"/>
      <w:r w:rsidRPr="00946612">
        <w:rPr>
          <w:rtl/>
        </w:rPr>
        <w:t xml:space="preserve"> הוא </w:t>
      </w:r>
      <w:proofErr w:type="spellStart"/>
      <w:r w:rsidRPr="00946612">
        <w:rPr>
          <w:rtl/>
        </w:rPr>
        <w:t>בהקידושין</w:t>
      </w:r>
      <w:proofErr w:type="spellEnd"/>
      <w:r w:rsidRPr="00946612">
        <w:rPr>
          <w:rtl/>
        </w:rPr>
        <w:t xml:space="preserve">, ע"כ שפיר אסור משום טומאה, [ועיקרן של דברים ביארנו היטב </w:t>
      </w:r>
      <w:proofErr w:type="spellStart"/>
      <w:r w:rsidRPr="00946612">
        <w:rPr>
          <w:rtl/>
        </w:rPr>
        <w:t>בעז"ה</w:t>
      </w:r>
      <w:proofErr w:type="spellEnd"/>
      <w:r w:rsidRPr="00946612">
        <w:rPr>
          <w:rtl/>
        </w:rPr>
        <w:t xml:space="preserve"> ביבמות ר"פ </w:t>
      </w:r>
      <w:proofErr w:type="spellStart"/>
      <w:r w:rsidRPr="00946612">
        <w:rPr>
          <w:rtl/>
        </w:rPr>
        <w:t>האשה</w:t>
      </w:r>
      <w:proofErr w:type="spellEnd"/>
      <w:r w:rsidRPr="00946612">
        <w:rPr>
          <w:rtl/>
        </w:rPr>
        <w:t xml:space="preserve"> רבה] ואפי' </w:t>
      </w:r>
      <w:proofErr w:type="spellStart"/>
      <w:r w:rsidRPr="00946612">
        <w:rPr>
          <w:rtl/>
        </w:rPr>
        <w:t>נתגרשה</w:t>
      </w:r>
      <w:proofErr w:type="spellEnd"/>
      <w:r w:rsidRPr="00946612">
        <w:rPr>
          <w:rtl/>
        </w:rPr>
        <w:t xml:space="preserve"> מ"מ נשאר רושם קידושין לאיסור קרובים, </w:t>
      </w:r>
      <w:proofErr w:type="spellStart"/>
      <w:r w:rsidRPr="00946612">
        <w:rPr>
          <w:rtl/>
        </w:rPr>
        <w:t>ובתוס</w:t>
      </w:r>
      <w:proofErr w:type="spellEnd"/>
      <w:r w:rsidRPr="00946612">
        <w:rPr>
          <w:rtl/>
        </w:rPr>
        <w:t xml:space="preserve">' יבמות (מ"ט ע"א) </w:t>
      </w:r>
      <w:proofErr w:type="spellStart"/>
      <w:r w:rsidRPr="00946612">
        <w:rPr>
          <w:rtl/>
        </w:rPr>
        <w:t>דמחזיר</w:t>
      </w:r>
      <w:proofErr w:type="spellEnd"/>
      <w:r w:rsidRPr="00946612">
        <w:rPr>
          <w:rtl/>
        </w:rPr>
        <w:t xml:space="preserve"> גרושתו משנשאת הוי לאו </w:t>
      </w:r>
      <w:proofErr w:type="spellStart"/>
      <w:r w:rsidRPr="00946612">
        <w:rPr>
          <w:rtl/>
        </w:rPr>
        <w:t>דשאר</w:t>
      </w:r>
      <w:proofErr w:type="spellEnd"/>
      <w:r w:rsidRPr="00946612">
        <w:rPr>
          <w:rtl/>
        </w:rPr>
        <w:t xml:space="preserve"> כיון</w:t>
      </w:r>
      <w:r>
        <w:rPr>
          <w:rtl/>
        </w:rPr>
        <w:t xml:space="preserve"> </w:t>
      </w:r>
      <w:proofErr w:type="spellStart"/>
      <w:r>
        <w:rPr>
          <w:rtl/>
        </w:rPr>
        <w:t>דהאיסור</w:t>
      </w:r>
      <w:proofErr w:type="spellEnd"/>
      <w:r>
        <w:rPr>
          <w:rtl/>
        </w:rPr>
        <w:t xml:space="preserve"> מחמת קידושין ראשונים</w:t>
      </w:r>
      <w:r>
        <w:rPr>
          <w:rFonts w:hint="cs"/>
          <w:rtl/>
        </w:rPr>
        <w:t>:</w:t>
      </w:r>
    </w:p>
    <w:p w:rsidRPr="00EB7430" w:rsidR="00E63996" w:rsidP="00E63996" w:rsidRDefault="00E63996" w14:paraId="027F2567" w14:textId="77777777">
      <w:pPr>
        <w:pStyle w:val="Heading2"/>
      </w:pPr>
      <w:r>
        <w:rPr>
          <w:rFonts w:hint="cs"/>
          <w:rtl/>
        </w:rPr>
        <w:t xml:space="preserve">ארץ הצבי עמ' </w:t>
      </w:r>
      <w:proofErr w:type="spellStart"/>
      <w:r>
        <w:rPr>
          <w:rFonts w:hint="cs"/>
          <w:rtl/>
        </w:rPr>
        <w:t>קה</w:t>
      </w:r>
      <w:proofErr w:type="spellEnd"/>
      <w:r>
        <w:rPr>
          <w:rFonts w:hint="cs"/>
          <w:rtl/>
        </w:rPr>
        <w:t xml:space="preserve"> וקי</w:t>
      </w:r>
    </w:p>
    <w:p w:rsidR="00E63996" w:rsidP="00E63996" w:rsidRDefault="00E63996" w14:paraId="62CA9910" w14:textId="77777777">
      <w:pPr>
        <w:pStyle w:val="Heading2"/>
        <w:rPr>
          <w:rtl/>
        </w:rPr>
      </w:pPr>
      <w:r>
        <w:rPr>
          <w:rFonts w:hint="cs"/>
          <w:rtl/>
        </w:rPr>
        <w:t>גינת אגוז עמ' קב</w:t>
      </w:r>
    </w:p>
    <w:p w:rsidR="7516BDF1" w:rsidP="7516BDF1" w:rsidRDefault="7516BDF1" w14:paraId="40250F77" w14:textId="40C921F4">
      <w:pPr>
        <w:pStyle w:val="Heading1"/>
        <w:rPr>
          <w:rtl/>
        </w:rPr>
      </w:pPr>
      <w:r w:rsidRPr="1D1FD8EB" w:rsidR="1D1FD8EB">
        <w:rPr>
          <w:rtl w:val="1"/>
        </w:rPr>
        <w:t>משנה ממטבע שטבעו חכמים</w:t>
      </w:r>
    </w:p>
    <w:p w:rsidR="7516BDF1" w:rsidP="7516BDF1" w:rsidRDefault="7516BDF1" w14:paraId="50717E07" w14:textId="7BC09DD0">
      <w:pPr>
        <w:pStyle w:val="Heading2"/>
      </w:pPr>
      <w:r w:rsidRPr="1D1FD8EB" w:rsidR="1D1FD8EB">
        <w:rPr>
          <w:rtl w:val="1"/>
        </w:rPr>
        <w:t>רמב"ם הלכות ברכות א:ה</w:t>
      </w:r>
    </w:p>
    <w:p w:rsidR="7516BDF1" w:rsidP="7516BDF1" w:rsidRDefault="7516BDF1" w14:paraId="617AAA99" w14:textId="78423CA6">
      <w:pPr>
        <w:pStyle w:val="Heading2"/>
      </w:pPr>
      <w:r w:rsidRPr="1D1FD8EB" w:rsidR="1D1FD8EB">
        <w:rPr>
          <w:rtl w:val="1"/>
        </w:rPr>
        <w:t>רמב"ם הלכות קריאת שמע א:ז</w:t>
      </w:r>
    </w:p>
    <w:p w:rsidR="7516BDF1" w:rsidP="7516BDF1" w:rsidRDefault="7516BDF1" w14:paraId="6F338775" w14:textId="5B97CD3F">
      <w:pPr>
        <w:pStyle w:val="Heading4"/>
      </w:pPr>
      <w:r w:rsidRPr="1D1FD8EB" w:rsidR="1D1FD8EB">
        <w:rPr>
          <w:rtl w:val="1"/>
        </w:rPr>
        <w:t>כסף משנה קריאת שמע א:ז</w:t>
      </w:r>
      <w:r w:rsidR="1D1FD8EB">
        <w:rPr/>
        <w:t xml:space="preserve"> </w:t>
      </w:r>
    </w:p>
    <w:p w:rsidR="7516BDF1" w:rsidP="00CF50D6" w:rsidRDefault="00CF50D6" w14:paraId="30BC60A4" w14:textId="133BEDFD">
      <w:pPr>
        <w:pStyle w:val="Heading2"/>
      </w:pPr>
      <w:r w:rsidRPr="1D1FD8EB" w:rsidR="1D1FD8EB">
        <w:rPr>
          <w:rtl w:val="1"/>
        </w:rPr>
        <w:t>כסף משנה הלכות ברכות א:ה</w:t>
      </w:r>
    </w:p>
    <w:p w:rsidR="00F459D5" w:rsidP="29D67DDD" w:rsidRDefault="00F459D5" w14:paraId="7846F943" w14:noSpellErr="1" w14:textId="3EC80050">
      <w:pPr>
        <w:pStyle w:val="Heading1"/>
        <w:rPr>
          <w:rtl w:val="1"/>
        </w:rPr>
      </w:pPr>
      <w:r w:rsidRPr="29D67DDD" w:rsidR="29D67DDD">
        <w:rPr>
          <w:rtl w:val="1"/>
        </w:rPr>
        <w:t xml:space="preserve">ברכות </w:t>
      </w:r>
      <w:r w:rsidRPr="29D67DDD" w:rsidR="29D67DDD">
        <w:rPr>
          <w:rtl w:val="1"/>
        </w:rPr>
        <w:t>–</w:t>
      </w:r>
      <w:r w:rsidRPr="29D67DDD" w:rsidR="29D67DDD">
        <w:rPr>
          <w:rtl w:val="1"/>
        </w:rPr>
        <w:t xml:space="preserve"> מזונות</w:t>
      </w:r>
    </w:p>
    <w:p w:rsidRPr="008C7966" w:rsidR="008C7966" w:rsidP="29D67DDD" w:rsidRDefault="008C7966" w14:paraId="65C00C1E" w14:noSpellErr="1" w14:textId="3EC80050">
      <w:pPr>
        <w:pStyle w:val="Heading2"/>
        <w:rPr>
          <w:rtl w:val="1"/>
        </w:rPr>
      </w:pPr>
      <w:r w:rsidRPr="29D67DDD" w:rsidR="29D67DDD">
        <w:rPr>
          <w:rtl w:val="1"/>
        </w:rPr>
        <w:t>דרך פקודיך</w:t>
      </w:r>
      <w:bookmarkStart w:name="_GoBack" w:id="1"/>
      <w:bookmarkEnd w:id="1"/>
    </w:p>
    <w:p w:rsidRPr="00F459D5" w:rsidR="00F459D5" w:rsidP="00F459D5" w:rsidRDefault="00F459D5" w14:paraId="6DE6A032" w14:textId="487D7EDB">
      <w:pPr>
        <w:pStyle w:val="Heading2"/>
        <w:rPr>
          <w:rFonts w:hint="cs"/>
          <w:rtl/>
        </w:rPr>
      </w:pPr>
      <w:r>
        <w:rPr>
          <w:rFonts w:hint="cs"/>
          <w:rtl/>
        </w:rPr>
        <w:t xml:space="preserve">ביאור הלכה </w:t>
      </w:r>
      <w:proofErr w:type="spellStart"/>
      <w:r>
        <w:rPr>
          <w:rFonts w:hint="cs"/>
          <w:rtl/>
        </w:rPr>
        <w:t>קסז:י</w:t>
      </w:r>
      <w:proofErr w:type="spellEnd"/>
      <w:r>
        <w:rPr>
          <w:rFonts w:hint="cs"/>
          <w:rtl/>
        </w:rPr>
        <w:t xml:space="preserve"> ד"ה במקום</w:t>
      </w:r>
    </w:p>
    <w:sectPr w:rsidRPr="00F459D5" w:rsidR="00F459D5">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7D8" w:rsidP="009F4441" w:rsidRDefault="000417D8" w14:paraId="213F1E4F" w14:textId="77777777">
      <w:pPr>
        <w:spacing w:after="0" w:line="240" w:lineRule="auto"/>
      </w:pPr>
      <w:r>
        <w:separator/>
      </w:r>
    </w:p>
  </w:endnote>
  <w:endnote w:type="continuationSeparator" w:id="0">
    <w:p w:rsidR="000417D8" w:rsidP="009F4441" w:rsidRDefault="000417D8" w14:paraId="2F254964" w14:textId="77777777">
      <w:pPr>
        <w:spacing w:after="0" w:line="240" w:lineRule="auto"/>
      </w:pPr>
      <w:r>
        <w:continuationSeparator/>
      </w:r>
    </w:p>
  </w:endnote>
  <w:endnote w:type="continuationNotice" w:id="1">
    <w:p w:rsidR="00F459D5" w:rsidRDefault="00F459D5" w14:paraId="137667F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AA7" w:rsidRDefault="00C47AA7" w14:paraId="47B2090C" w14:textId="7777777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7D8" w:rsidP="009F4441" w:rsidRDefault="000417D8" w14:paraId="57A2EADC" w14:textId="77777777">
      <w:pPr>
        <w:spacing w:after="0" w:line="240" w:lineRule="auto"/>
      </w:pPr>
      <w:r>
        <w:separator/>
      </w:r>
    </w:p>
  </w:footnote>
  <w:footnote w:type="continuationSeparator" w:id="0">
    <w:p w:rsidR="000417D8" w:rsidP="009F4441" w:rsidRDefault="000417D8" w14:paraId="73FF2BD2" w14:textId="77777777">
      <w:pPr>
        <w:spacing w:after="0" w:line="240" w:lineRule="auto"/>
      </w:pPr>
      <w:r>
        <w:continuationSeparator/>
      </w:r>
    </w:p>
  </w:footnote>
  <w:footnote w:type="continuationNotice" w:id="1">
    <w:p w:rsidR="00F459D5" w:rsidRDefault="00F459D5" w14:paraId="1AF07F68" w14:textId="77777777">
      <w:pPr>
        <w:spacing w:after="0" w:line="240" w:lineRule="auto"/>
      </w:pPr>
    </w:p>
  </w:footnote>
  <w:footnote w:id="2">
    <w:p w:rsidRPr="00787618" w:rsidR="00E63996" w:rsidP="00E63996" w:rsidRDefault="00E63996" w14:paraId="258DD22A" w14:textId="77777777">
      <w:pPr>
        <w:pStyle w:val="Heading2"/>
        <w:rPr>
          <w:sz w:val="18"/>
          <w:szCs w:val="18"/>
          <w:rtl/>
        </w:rPr>
      </w:pPr>
      <w:r w:rsidRPr="00787618">
        <w:rPr>
          <w:rStyle w:val="FootnoteReference"/>
          <w:sz w:val="18"/>
          <w:szCs w:val="18"/>
        </w:rPr>
        <w:footnoteRef/>
      </w:r>
      <w:r w:rsidRPr="00787618">
        <w:rPr>
          <w:sz w:val="18"/>
          <w:szCs w:val="18"/>
          <w:rtl/>
        </w:rPr>
        <w:t xml:space="preserve"> </w:t>
      </w:r>
      <w:hyperlink w:history="1" r:id="rId1">
        <w:r w:rsidRPr="00787618">
          <w:rPr>
            <w:rStyle w:val="Hyperlink"/>
            <w:rFonts w:hint="cs"/>
            <w:sz w:val="18"/>
            <w:szCs w:val="18"/>
            <w:rtl/>
          </w:rPr>
          <w:t>ממלכת הכוזרים</w:t>
        </w:r>
      </w:hyperlink>
      <w:r w:rsidRPr="00787618">
        <w:rPr>
          <w:rFonts w:hint="cs"/>
          <w:sz w:val="18"/>
          <w:szCs w:val="18"/>
          <w:rtl/>
        </w:rPr>
        <w:t xml:space="preserve">, </w:t>
      </w:r>
      <w:hyperlink w:history="1" r:id="rId2">
        <w:r w:rsidRPr="00787618">
          <w:rPr>
            <w:rStyle w:val="Hyperlink"/>
            <w:rFonts w:hint="cs"/>
            <w:sz w:val="18"/>
            <w:szCs w:val="18"/>
            <w:rtl/>
          </w:rPr>
          <w:t xml:space="preserve">יהודי </w:t>
        </w:r>
        <w:proofErr w:type="spellStart"/>
        <w:r w:rsidRPr="00787618">
          <w:rPr>
            <w:rStyle w:val="Hyperlink"/>
            <w:rFonts w:hint="cs"/>
            <w:sz w:val="18"/>
            <w:szCs w:val="18"/>
            <w:rtl/>
          </w:rPr>
          <w:t>כוזר</w:t>
        </w:r>
        <w:proofErr w:type="spellEnd"/>
      </w:hyperlink>
    </w:p>
    <w:p w:rsidR="00E63996" w:rsidP="00E63996" w:rsidRDefault="00E63996" w14:paraId="4CC45EE9"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9E9" w:rsidP="000D7D13" w:rsidRDefault="009F4441" w14:paraId="72BB7CAE" w14:textId="77777777">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Pr>
        <w:rFonts w:hint="cs"/>
        <w:rtl/>
      </w:rPr>
      <w:t xml:space="preserve">מסכת </w:t>
    </w:r>
    <w:r w:rsidR="000417D8">
      <w:rPr>
        <w:rFonts w:hint="cs"/>
        <w:rtl/>
      </w:rPr>
      <w:t>ברכות מ.</w:t>
    </w:r>
  </w:p>
  <w:p w:rsidRPr="009F4441" w:rsidR="00E019E9" w:rsidP="000D7D13" w:rsidRDefault="00E019E9" w14:paraId="1DAB0F75" w14:textId="44C0F006">
    <w:pPr>
      <w:spacing w:after="0" w:line="240" w:lineRule="auto"/>
    </w:pPr>
    <w:r w:rsidRPr="00C52284">
      <w:rPr>
        <w:rtl/>
      </w:rPr>
      <w:t>‏</w:t>
    </w:r>
    <w:r>
      <w:rPr>
        <w:rFonts w:hint="cs"/>
        <w:rtl/>
      </w:rPr>
      <w:t>‏</w:t>
    </w:r>
    <w:r w:rsidRPr="001458F7" w:rsidR="001458F7">
      <w:rPr>
        <w:rtl/>
      </w:rPr>
      <w:t>‏י"ב אדר תשע"ח</w:t>
    </w:r>
    <w:r w:rsidRPr="001458F7" w:rsidR="001458F7">
      <w:rPr>
        <w:rtl/>
      </w:rPr>
      <w:tab/>
    </w:r>
    <w:r w:rsidR="000D7D13">
      <w:rPr>
        <w:rtl/>
      </w:rPr>
      <w:tab/>
    </w:r>
    <w:r w:rsidR="000417D8">
      <w:rPr>
        <w:rtl/>
      </w:rPr>
      <w:tab/>
    </w:r>
    <w:r w:rsidR="000417D8">
      <w:rPr>
        <w:rtl/>
      </w:rPr>
      <w:tab/>
    </w:r>
    <w:r w:rsidR="000417D8">
      <w:rPr>
        <w:rtl/>
      </w:rPr>
      <w:tab/>
    </w:r>
    <w:r w:rsidR="000417D8">
      <w:rPr>
        <w:rtl/>
      </w:rPr>
      <w:tab/>
    </w:r>
    <w:r w:rsidR="000417D8">
      <w:rPr>
        <w:rtl/>
      </w:rPr>
      <w:tab/>
    </w:r>
    <w:r w:rsidR="000417D8">
      <w:rPr>
        <w:rtl/>
      </w:rPr>
      <w:tab/>
    </w:r>
    <w:r w:rsidR="000417D8">
      <w:rPr>
        <w:rtl/>
      </w:rPr>
      <w:tab/>
    </w:r>
    <w:r w:rsidR="000417D8">
      <w:rPr>
        <w:rtl/>
      </w:rPr>
      <w:tab/>
    </w:r>
    <w:r w:rsidR="000417D8">
      <w:rPr>
        <w:rFonts w:hint="cs"/>
        <w:rtl/>
      </w:rPr>
      <w:t xml:space="preserve">  </w:t>
    </w:r>
    <w:r w:rsidRPr="00C52284">
      <w:rPr>
        <w:rtl/>
      </w:rPr>
      <w:t xml:space="preserve">שיעור </w:t>
    </w:r>
    <w:r w:rsidR="000417D8">
      <w:rPr>
        <w:rFonts w:hint="cs"/>
        <w:rtl/>
      </w:rPr>
      <w:t>ע"ט</w:t>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people.xml><?xml version="1.0" encoding="utf-8"?>
<w15:people xmlns:mc="http://schemas.openxmlformats.org/markup-compatibility/2006" xmlns:w15="http://schemas.microsoft.com/office/word/2012/wordml" mc:Ignorable="w15">
  <w15:person w15:author="yoni rabinovitch">
    <w15:presenceInfo w15:providerId="Windows Live" w15:userId="1701990a5b6bc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dirty"/>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D8"/>
    <w:rsid w:val="000417D8"/>
    <w:rsid w:val="000C25FD"/>
    <w:rsid w:val="000D7D13"/>
    <w:rsid w:val="001458F7"/>
    <w:rsid w:val="001A3E2F"/>
    <w:rsid w:val="002D7162"/>
    <w:rsid w:val="003B3F74"/>
    <w:rsid w:val="00495076"/>
    <w:rsid w:val="004F2E85"/>
    <w:rsid w:val="00771609"/>
    <w:rsid w:val="008C3036"/>
    <w:rsid w:val="008C7966"/>
    <w:rsid w:val="00933E7C"/>
    <w:rsid w:val="00972D11"/>
    <w:rsid w:val="009F4441"/>
    <w:rsid w:val="00A61538"/>
    <w:rsid w:val="00C47AA7"/>
    <w:rsid w:val="00C57D9A"/>
    <w:rsid w:val="00CF50D6"/>
    <w:rsid w:val="00E019E9"/>
    <w:rsid w:val="00E63996"/>
    <w:rsid w:val="00F459D5"/>
    <w:rsid w:val="1D1FD8EB"/>
    <w:rsid w:val="29D67DDD"/>
    <w:rsid w:val="41F6A23D"/>
    <w:rsid w:val="46CD65E9"/>
    <w:rsid w:val="7516BD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9321"/>
  <w15:chartTrackingRefBased/>
  <w15:docId w15:val="{A91E3A22-3569-4620-9866-06DADC8F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5076"/>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hAnsi="Narkisim" w:eastAsia="Calibri"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95076"/>
    <w:pPr>
      <w:outlineLvl w:val="3"/>
    </w:pPr>
    <w:rPr>
      <w:color w:val="000080"/>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F4441"/>
    <w:rPr>
      <w:rFonts w:ascii="Narkisim" w:hAnsi="Narkisim" w:eastAsia="Calibri" w:cs="Narkisim"/>
      <w:b/>
      <w:bCs/>
      <w:sz w:val="32"/>
      <w:szCs w:val="32"/>
      <w:u w:val="single"/>
    </w:rPr>
  </w:style>
  <w:style w:type="character" w:styleId="Heading2Char" w:customStyle="1">
    <w:name w:val="Heading 2 Char"/>
    <w:basedOn w:val="DefaultParagraphFont"/>
    <w:link w:val="Heading2"/>
    <w:uiPriority w:val="9"/>
    <w:rsid w:val="009F4441"/>
    <w:rPr>
      <w:rFonts w:ascii="Narkisim" w:hAnsi="Narkisim" w:eastAsia="Calibri"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styleId="TitleChar" w:customStyle="1">
    <w:name w:val="Title Char"/>
    <w:basedOn w:val="DefaultParagraphFont"/>
    <w:link w:val="Title"/>
    <w:uiPriority w:val="10"/>
    <w:rsid w:val="009F4441"/>
    <w:rPr>
      <w:rFonts w:ascii="Narkisim" w:hAnsi="Narkisim" w:eastAsia="Calibri"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styleId="SubtitleChar" w:customStyle="1">
    <w:name w:val="Subtitle Char"/>
    <w:basedOn w:val="DefaultParagraphFont"/>
    <w:link w:val="Subtitle"/>
    <w:uiPriority w:val="11"/>
    <w:rsid w:val="009F4441"/>
    <w:rPr>
      <w:rFonts w:ascii="Narkisim" w:hAnsi="Narkisim" w:eastAsia="Calibri" w:cs="Narkisim"/>
      <w:sz w:val="32"/>
      <w:szCs w:val="32"/>
    </w:rPr>
  </w:style>
  <w:style w:type="character" w:styleId="Heading3Char" w:customStyle="1">
    <w:name w:val="Heading 3 Char"/>
    <w:basedOn w:val="DefaultParagraphFont"/>
    <w:link w:val="Heading3"/>
    <w:uiPriority w:val="9"/>
    <w:rsid w:val="009F4441"/>
    <w:rPr>
      <w:rFonts w:asciiTheme="majorHAnsi" w:hAnsiTheme="majorHAnsi" w:eastAsiaTheme="majorEastAsia"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4441"/>
    <w:rPr>
      <w:rFonts w:ascii="Narkisim" w:hAnsi="Narkisim" w:cs="Narkisim"/>
    </w:rPr>
  </w:style>
  <w:style w:type="character" w:styleId="Heading4Char" w:customStyle="1">
    <w:name w:val="Heading 4 Char"/>
    <w:basedOn w:val="DefaultParagraphFont"/>
    <w:link w:val="Heading4"/>
    <w:uiPriority w:val="9"/>
    <w:rsid w:val="00495076"/>
    <w:rPr>
      <w:rFonts w:ascii="Narkisim" w:hAnsi="Narkisim" w:cs="Narkisim"/>
      <w:color w:val="000080"/>
      <w:sz w:val="28"/>
      <w:szCs w:val="28"/>
    </w:rPr>
  </w:style>
  <w:style w:type="character" w:styleId="Hyperlink">
    <w:name w:val="Hyperlink"/>
    <w:basedOn w:val="DefaultParagraphFont"/>
    <w:uiPriority w:val="99"/>
    <w:unhideWhenUsed/>
    <w:rsid w:val="00495076"/>
    <w:rPr>
      <w:color w:val="0563C1" w:themeColor="hyperlink"/>
      <w:u w:val="single"/>
    </w:rPr>
  </w:style>
  <w:style w:type="character" w:styleId="FootnoteTextChar" w:customStyle="1">
    <w:name w:val="Footnote Text Char"/>
    <w:basedOn w:val="DefaultParagraphFont"/>
    <w:link w:val="FootnoteText"/>
    <w:uiPriority w:val="99"/>
    <w:rsid w:val="00E63996"/>
    <w:rPr>
      <w:rFonts w:ascii="Narkisim" w:hAnsi="Narkisim" w:cs="Narkisim"/>
      <w:sz w:val="20"/>
      <w:szCs w:val="20"/>
    </w:rPr>
  </w:style>
  <w:style w:type="paragraph" w:styleId="FootnoteText">
    <w:name w:val="footnote text"/>
    <w:basedOn w:val="Normal"/>
    <w:link w:val="FootnoteTextChar"/>
    <w:uiPriority w:val="99"/>
    <w:unhideWhenUsed/>
    <w:rsid w:val="00E63996"/>
    <w:pPr>
      <w:spacing w:after="0" w:line="240" w:lineRule="auto"/>
    </w:pPr>
    <w:rPr>
      <w:sz w:val="20"/>
      <w:szCs w:val="20"/>
    </w:rPr>
  </w:style>
  <w:style w:type="character" w:styleId="FootnoteTextChar1" w:customStyle="1">
    <w:name w:val="Footnote Text Char1"/>
    <w:basedOn w:val="DefaultParagraphFont"/>
    <w:uiPriority w:val="99"/>
    <w:semiHidden/>
    <w:rsid w:val="00E63996"/>
    <w:rPr>
      <w:rFonts w:ascii="Narkisim" w:hAnsi="Narkisim" w:cs="Narkisim"/>
      <w:sz w:val="20"/>
      <w:szCs w:val="20"/>
    </w:rPr>
  </w:style>
  <w:style w:type="character" w:styleId="FootnoteReference">
    <w:name w:val="footnote reference"/>
    <w:basedOn w:val="DefaultParagraphFont"/>
    <w:uiPriority w:val="99"/>
    <w:semiHidden/>
    <w:unhideWhenUsed/>
    <w:rsid w:val="00E63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ettings" Target="settings.xml" Id="rId3" /><Relationship Type="http://schemas.openxmlformats.org/officeDocument/2006/relationships/hyperlink" Target="http://www.hebrewbooks.org/pdfpager.aspx?req=1917&amp;st=&amp;pgnum=22"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microsoft.com/office/2011/relationships/people" Target="/word/people.xml" Id="Rcccecd280f214582" /></Relationships>
</file>

<file path=word/_rels/footnotes.xml.rels><?xml version="1.0" encoding="UTF-8" standalone="yes"?>
<Relationships xmlns="http://schemas.openxmlformats.org/package/2006/relationships"><Relationship Id="rId2" Type="http://schemas.openxmlformats.org/officeDocument/2006/relationships/hyperlink" Target="http://www.khazaria.com/brook.html" TargetMode="External"/><Relationship Id="rId1" Type="http://schemas.openxmlformats.org/officeDocument/2006/relationships/hyperlink" Target="http://www.khazaria.com/yaari.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Shiur.dotx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Mordechai Djavaheri</dc:creator>
  <keywords/>
  <dc:description/>
  <lastModifiedBy>yoni rabinovitch</lastModifiedBy>
  <revision>13</revision>
  <dcterms:created xsi:type="dcterms:W3CDTF">2018-02-27T17:49:00.0000000Z</dcterms:created>
  <dcterms:modified xsi:type="dcterms:W3CDTF">2018-02-28T14:49:10.8543703Z</dcterms:modified>
</coreProperties>
</file>