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191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0B8AA8D" w14:textId="77777777" w:rsidR="009F4441" w:rsidRDefault="009F4441" w:rsidP="009F4441">
      <w:pPr>
        <w:pStyle w:val="Subtitle"/>
        <w:rPr>
          <w:rtl/>
        </w:rPr>
      </w:pPr>
      <w:r>
        <w:rPr>
          <w:rFonts w:hint="cs"/>
          <w:rtl/>
        </w:rPr>
        <w:t>כותרות</w:t>
      </w:r>
    </w:p>
    <w:p w14:paraId="3773AE3A" w14:textId="7903476A" w:rsidR="009F4441" w:rsidRDefault="0031723D" w:rsidP="009F4441">
      <w:pPr>
        <w:pStyle w:val="Heading1"/>
        <w:rPr>
          <w:rFonts w:hint="cs"/>
          <w:rtl/>
        </w:rPr>
      </w:pPr>
      <w:r>
        <w:rPr>
          <w:rFonts w:hint="cs"/>
          <w:rtl/>
        </w:rPr>
        <w:t>מזוזה</w:t>
      </w:r>
      <w:r w:rsidR="008571D6">
        <w:rPr>
          <w:rFonts w:hint="cs"/>
          <w:rtl/>
        </w:rPr>
        <w:t xml:space="preserve"> </w:t>
      </w:r>
      <w:r w:rsidR="008571D6">
        <w:rPr>
          <w:rtl/>
        </w:rPr>
        <w:t>–</w:t>
      </w:r>
      <w:r w:rsidR="008571D6">
        <w:rPr>
          <w:rFonts w:hint="cs"/>
          <w:rtl/>
        </w:rPr>
        <w:t xml:space="preserve"> </w:t>
      </w:r>
      <w:r>
        <w:rPr>
          <w:rFonts w:hint="cs"/>
          <w:rtl/>
        </w:rPr>
        <w:t>מאחורי הדלת</w:t>
      </w:r>
    </w:p>
    <w:p w14:paraId="228CF4CD" w14:textId="1BDBEC01" w:rsidR="0031723D" w:rsidRDefault="0031723D" w:rsidP="0031723D">
      <w:pPr>
        <w:pStyle w:val="Heading2"/>
        <w:rPr>
          <w:rFonts w:hint="cs"/>
          <w:rtl/>
        </w:rPr>
      </w:pPr>
      <w:r>
        <w:rPr>
          <w:rFonts w:hint="cs"/>
          <w:rtl/>
        </w:rPr>
        <w:t>שלחן ערוך יורה דעה רפט</w:t>
      </w:r>
      <w:r w:rsidR="009326B2">
        <w:rPr>
          <w:rFonts w:hint="cs"/>
          <w:rtl/>
        </w:rPr>
        <w:t>:ב</w:t>
      </w:r>
    </w:p>
    <w:p w14:paraId="5EF9B54F" w14:textId="63F14461" w:rsidR="009326B2" w:rsidRPr="009326B2" w:rsidRDefault="009326B2" w:rsidP="009326B2">
      <w:r w:rsidRPr="009326B2">
        <w:rPr>
          <w:rtl/>
        </w:rPr>
        <w:t xml:space="preserve">איזהו מקום קביעתה, בתוך חלל של פתח, </w:t>
      </w:r>
      <w:r w:rsidR="00956530">
        <w:rPr>
          <w:rtl/>
        </w:rPr>
        <w:t xml:space="preserve">בטפח הסמוך לחוץ, </w:t>
      </w:r>
      <w:r w:rsidR="00956530" w:rsidRPr="00956530">
        <w:rPr>
          <w:sz w:val="18"/>
          <w:szCs w:val="18"/>
          <w:rtl/>
        </w:rPr>
        <w:t>(</w:t>
      </w:r>
      <w:r w:rsidRPr="00956530">
        <w:rPr>
          <w:sz w:val="18"/>
          <w:szCs w:val="18"/>
          <w:rtl/>
        </w:rPr>
        <w:t>ואם שינה, אינו מעכב, ובלבד שיניחנה במזוזה עצמ</w:t>
      </w:r>
      <w:r w:rsidR="00956530" w:rsidRPr="00956530">
        <w:rPr>
          <w:sz w:val="18"/>
          <w:szCs w:val="18"/>
          <w:rtl/>
        </w:rPr>
        <w:t>ה) (טור)</w:t>
      </w:r>
      <w:r w:rsidR="00956530">
        <w:rPr>
          <w:rtl/>
        </w:rPr>
        <w:t xml:space="preserve">, בתחלת שליש העליון </w:t>
      </w:r>
      <w:r w:rsidRPr="009326B2">
        <w:rPr>
          <w:rtl/>
        </w:rPr>
        <w:t>גובה השער. ו</w:t>
      </w:r>
      <w:r w:rsidR="00956530">
        <w:rPr>
          <w:rtl/>
        </w:rPr>
        <w:t xml:space="preserve">אם קבע למעלה מזה, </w:t>
      </w:r>
      <w:r w:rsidRPr="009326B2">
        <w:rPr>
          <w:rtl/>
        </w:rPr>
        <w:t>כשרה, והוא שירחיקנה מהמשקוף טפח. ו</w:t>
      </w:r>
      <w:r w:rsidR="00956530">
        <w:rPr>
          <w:rtl/>
        </w:rPr>
        <w:t xml:space="preserve">צריך לקבעה על ימין הנכנס. </w:t>
      </w:r>
      <w:r w:rsidR="00956530" w:rsidRPr="00956530">
        <w:rPr>
          <w:sz w:val="18"/>
          <w:szCs w:val="18"/>
          <w:rtl/>
        </w:rPr>
        <w:t>(</w:t>
      </w:r>
      <w:r w:rsidRPr="00956530">
        <w:rPr>
          <w:sz w:val="18"/>
          <w:szCs w:val="18"/>
          <w:rtl/>
        </w:rPr>
        <w:t>ואין חילוק בין אם ה</w:t>
      </w:r>
      <w:r w:rsidR="00956530" w:rsidRPr="00956530">
        <w:rPr>
          <w:sz w:val="18"/>
          <w:szCs w:val="18"/>
          <w:rtl/>
        </w:rPr>
        <w:t>וא אטר יד או לא) (מרדכי ה"ק).</w:t>
      </w:r>
      <w:r w:rsidRPr="00956530">
        <w:rPr>
          <w:sz w:val="18"/>
          <w:szCs w:val="18"/>
          <w:rtl/>
        </w:rPr>
        <w:t xml:space="preserve"> </w:t>
      </w:r>
      <w:r w:rsidRPr="009326B2">
        <w:rPr>
          <w:rtl/>
        </w:rPr>
        <w:t>ואם קבעה משמאל, פסולה.</w:t>
      </w:r>
    </w:p>
    <w:p w14:paraId="5E4E64D7" w14:textId="3071E8B7" w:rsidR="000C25FD" w:rsidRDefault="009326B2" w:rsidP="009326B2">
      <w:pPr>
        <w:pStyle w:val="Heading2"/>
        <w:rPr>
          <w:rtl/>
        </w:rPr>
      </w:pPr>
      <w:r>
        <w:rPr>
          <w:rFonts w:hint="cs"/>
          <w:rtl/>
        </w:rPr>
        <w:t>ש"ך יורה דעה רפט:ג</w:t>
      </w:r>
    </w:p>
    <w:p w14:paraId="1CF97A3E" w14:textId="14F48AC6" w:rsidR="009326B2" w:rsidRDefault="009326B2" w:rsidP="009326B2">
      <w:r w:rsidRPr="009326B2">
        <w:rPr>
          <w:rtl/>
        </w:rPr>
        <w:t>ואם שינה אינו מעכב כו'. ואפי' הניחה אחורי הדלת כשרה בדיעבד כן משמע בטור וכן נראה דעת הרב אבל דעת הנ"י והרמב"ם נראה דפסולה וכ"פ הב"י וכ"כ העט"ז הלכך יש לחזור ולתקנו כהוגן ובס' מעדני מלך ד' ע"ו סוף ע"א כתב דהנהו בתים הפתוחים לרחוב העובדי כוכבים ומניחים מפני כן המזוזות אחורי הדלת דיש להם על מה שיסמוכו על דברי הטור והרב</w:t>
      </w:r>
    </w:p>
    <w:p w14:paraId="047C7DE3" w14:textId="1DFC7E58" w:rsidR="008571D6" w:rsidRDefault="008571D6" w:rsidP="008571D6">
      <w:pPr>
        <w:pStyle w:val="Heading2"/>
      </w:pPr>
      <w:r>
        <w:rPr>
          <w:rFonts w:hint="cs"/>
          <w:rtl/>
        </w:rPr>
        <w:t>חזון איש יורה דעה קעב:ג</w:t>
      </w:r>
      <w:r w:rsidR="00BF17F7">
        <w:rPr>
          <w:rFonts w:hint="cs"/>
          <w:rtl/>
        </w:rPr>
        <w:t xml:space="preserve"> </w:t>
      </w:r>
      <w:r w:rsidR="00BF17F7" w:rsidRPr="00BF17F7">
        <w:rPr>
          <w:rFonts w:hint="cs"/>
          <w:sz w:val="22"/>
          <w:szCs w:val="22"/>
          <w:rtl/>
        </w:rPr>
        <w:t>(</w:t>
      </w:r>
      <w:hyperlink r:id="rId6" w:history="1">
        <w:r w:rsidR="00BF17F7" w:rsidRPr="00BF17F7">
          <w:rPr>
            <w:rStyle w:val="Hyperlink"/>
            <w:rFonts w:hint="cs"/>
            <w:sz w:val="22"/>
            <w:szCs w:val="22"/>
            <w:rtl/>
          </w:rPr>
          <w:t>קישור</w:t>
        </w:r>
      </w:hyperlink>
      <w:r w:rsidR="00BF17F7" w:rsidRPr="00BF17F7">
        <w:rPr>
          <w:rFonts w:hint="cs"/>
          <w:sz w:val="22"/>
          <w:szCs w:val="22"/>
          <w:rtl/>
        </w:rPr>
        <w:t>)</w:t>
      </w:r>
    </w:p>
    <w:p w14:paraId="7EB284E1" w14:textId="77777777" w:rsidR="002969FD" w:rsidRPr="00CE14A2" w:rsidRDefault="002969FD" w:rsidP="002969FD">
      <w:pPr>
        <w:pStyle w:val="Heading1"/>
        <w:rPr>
          <w:rtl/>
        </w:rPr>
      </w:pPr>
      <w:bookmarkStart w:id="0" w:name="_Toc497159473"/>
      <w:r>
        <w:rPr>
          <w:rFonts w:hint="cs"/>
          <w:rtl/>
        </w:rPr>
        <w:t xml:space="preserve">תפילין </w:t>
      </w:r>
      <w:r>
        <w:rPr>
          <w:rtl/>
        </w:rPr>
        <w:t>–</w:t>
      </w:r>
      <w:r>
        <w:rPr>
          <w:rFonts w:hint="cs"/>
          <w:rtl/>
        </w:rPr>
        <w:t xml:space="preserve"> זמנם</w:t>
      </w:r>
      <w:bookmarkEnd w:id="0"/>
    </w:p>
    <w:p w14:paraId="21A0B5D5" w14:textId="77777777" w:rsidR="002969FD" w:rsidRPr="00CE14A2" w:rsidRDefault="002969FD" w:rsidP="002969FD">
      <w:pPr>
        <w:pStyle w:val="Heading2"/>
        <w:rPr>
          <w:rtl/>
        </w:rPr>
      </w:pPr>
      <w:r w:rsidRPr="00CE14A2">
        <w:rPr>
          <w:rtl/>
        </w:rPr>
        <w:t>שו"ת אגרות משה אורח חיים חלק א סימן י</w:t>
      </w:r>
    </w:p>
    <w:p w14:paraId="2D6C7D3A" w14:textId="77777777" w:rsidR="002969FD" w:rsidRPr="00CE14A2" w:rsidRDefault="002969FD" w:rsidP="002969FD">
      <w:pPr>
        <w:rPr>
          <w:rtl/>
        </w:rPr>
      </w:pPr>
      <w:r w:rsidRPr="00CE14A2">
        <w:rPr>
          <w:rtl/>
        </w:rPr>
        <w:t xml:space="preserve">במי שהולך כל היום לעבודה מה יעשה בתפילין.  </w:t>
      </w:r>
    </w:p>
    <w:p w14:paraId="360CF389" w14:textId="77777777" w:rsidR="002969FD" w:rsidRPr="00CE14A2" w:rsidRDefault="002969FD" w:rsidP="002969FD">
      <w:pPr>
        <w:rPr>
          <w:rtl/>
        </w:rPr>
      </w:pPr>
      <w:r w:rsidRPr="00CE14A2">
        <w:rPr>
          <w:rtl/>
        </w:rPr>
        <w:t xml:space="preserve">  ז' כסלו תרצ"ב ליובאן. מע"כ ידידי הרב הגאון המפורסם מהר"ר שמעון טרעבניק שליט"א.  </w:t>
      </w:r>
    </w:p>
    <w:p w14:paraId="29E7A3F7" w14:textId="77777777" w:rsidR="002969FD" w:rsidRDefault="002969FD" w:rsidP="002969FD">
      <w:pPr>
        <w:rPr>
          <w:rtl/>
        </w:rPr>
      </w:pPr>
      <w:r w:rsidRPr="00CE14A2">
        <w:rPr>
          <w:rtl/>
        </w:rPr>
        <w:t xml:space="preserve">  בדבר מי שהולך על כל היום לעבודה וא"א לו שם להניח תפילין בכל היום אם יש להתיר לו להניח תפילין קודם עמוד השחר, הנכון לע"ד שצריך להניח כיון שליכא כבר חשש שינה כמו במשכים לדרך בש"ע /או"ח/ סי' ל' סעי' ג' שמניחם. אבל מסתבר שיש לסמוך בכגון זה על ר' פרץ שהביא הטור /או"ח/ סי' ל' שיכול גם לברך דלהגירסא במנחות דף ל"ו שהוא גירסת רוב הראשונים וחשך והניח תפילין ליכא כלל גזירה שלא להניח בלילה אלא שאין מורין כן והזריז יכול להניח לכתחילה כדאיתא בנ"י ולכן יכול לומר וצונו, דאיסור חכמים שמונע מברכה הוא רק כשאסרו לכל כמו בשופר ולולב אבל הכא אין כאן איסור ממש ולכן בעובדא דידן שליכא חשש שינה שכבר קם משנתו יש להורות לו באונס כזה שא"א לו להניח ביום שגם יברך. ואף שבגמ' /מנחות ל"ו/ איתא שמברך אח"כ כשיגיע זמנן ואף הש"ע פסק כן אף שהש"ע סובר דלילה זמן תפילין מדאורייתא הוא משום דסובר דלהניח לכתחלה בלילה אסרו מדרבנן דגריס וחשך ולא סליק תפילי כדאיתא בכ"מ פ"ד מתפילין הי"א להרמב"ם אבל הר' פרץ סובר דליכא כלל איסור אף להניח בתחלה אלא שאין מורין כן, כדבארתי לכן גם מברך ועיין בהגר"א שם ולכן אף שבמשכים לדרך שיכול לברך אח"כ יש לעשות כהש"ע אבל בעובדא דידן שלא יהיו עליו התפילין אח"כ יש לעשות כהר' פרץ שגם יברך, ואנוס ודאי יש להחשיבו דאין לחייבו להפסיד עבודתו שהוא הפסד יותר מחומש בשביל מצות עשה, וכ"ש במדינה זו שא"א להשיג עבודה אחרת כי הכל הוא בידם ולא יתנו לו, ולכן כדי שלא יפסיד מצוה חביבה זו יכול להניח אף בברכה כי להניח בלא ברכה לא יבין איש שאינו ת"ח ויבא להקל ולזלזל בהנחתם אך ת"ח יותר טוב שיניח בלא ברכה שספק ברכות להקל, וק"ש ותפלה יחכה על היום ויקרא כשיעסוק במלאכתו. ידיד</w:t>
      </w:r>
      <w:r>
        <w:rPr>
          <w:rtl/>
        </w:rPr>
        <w:t>ו מוקירו מאד, משה פיינשטיין.</w:t>
      </w:r>
    </w:p>
    <w:p w14:paraId="625C0180" w14:textId="66DB206E" w:rsidR="002969FD" w:rsidRDefault="008D5D99" w:rsidP="00E65CCF">
      <w:pPr>
        <w:pStyle w:val="Heading1"/>
        <w:rPr>
          <w:rFonts w:hint="cs"/>
          <w:rtl/>
        </w:rPr>
      </w:pPr>
      <w:r>
        <w:rPr>
          <w:rFonts w:hint="cs"/>
          <w:rtl/>
        </w:rPr>
        <w:t xml:space="preserve">מת </w:t>
      </w:r>
      <w:r>
        <w:rPr>
          <w:rtl/>
        </w:rPr>
        <w:t>–</w:t>
      </w:r>
      <w:r>
        <w:rPr>
          <w:rFonts w:hint="cs"/>
          <w:rtl/>
        </w:rPr>
        <w:t xml:space="preserve"> איסור הנאה</w:t>
      </w:r>
    </w:p>
    <w:p w14:paraId="7F78168A" w14:textId="4A361151" w:rsidR="008D5D99" w:rsidRDefault="00CB0C1F" w:rsidP="00CB0C1F">
      <w:pPr>
        <w:pStyle w:val="Heading2"/>
        <w:rPr>
          <w:rtl/>
        </w:rPr>
      </w:pPr>
      <w:r>
        <w:rPr>
          <w:rFonts w:hint="cs"/>
          <w:rtl/>
        </w:rPr>
        <w:t>סנהדרין מז</w:t>
      </w:r>
    </w:p>
    <w:p w14:paraId="17431B95" w14:textId="2A203CB6" w:rsidR="00CB0C1F" w:rsidRDefault="00CB0C1F" w:rsidP="00CB0C1F">
      <w:pPr>
        <w:pStyle w:val="Heading2"/>
        <w:rPr>
          <w:rtl/>
        </w:rPr>
      </w:pPr>
      <w:r>
        <w:rPr>
          <w:rFonts w:hint="cs"/>
          <w:rtl/>
        </w:rPr>
        <w:t>משנה למלך הלכות אבל יד:כא</w:t>
      </w:r>
    </w:p>
    <w:p w14:paraId="31C5DA33" w14:textId="3CF0DD42" w:rsidR="00CB0C1F" w:rsidRDefault="00CB0C1F" w:rsidP="00CB0C1F">
      <w:pPr>
        <w:pStyle w:val="Heading1"/>
        <w:rPr>
          <w:rtl/>
        </w:rPr>
      </w:pPr>
      <w:r>
        <w:rPr>
          <w:rFonts w:hint="cs"/>
          <w:rtl/>
        </w:rPr>
        <w:lastRenderedPageBreak/>
        <w:t>תשמישי קדושה ותשמישי המת</w:t>
      </w:r>
    </w:p>
    <w:p w14:paraId="18E083E0" w14:textId="19CE73B5" w:rsidR="00CB0C1F" w:rsidRPr="00CB0C1F" w:rsidRDefault="00CB0C1F" w:rsidP="00CB0C1F">
      <w:pPr>
        <w:pStyle w:val="Heading2"/>
        <w:rPr>
          <w:rtl/>
        </w:rPr>
      </w:pPr>
      <w:r>
        <w:rPr>
          <w:rFonts w:hint="cs"/>
          <w:rtl/>
        </w:rPr>
        <w:t xml:space="preserve">שו"ת רבי עקיבא איגר </w:t>
      </w:r>
      <w:r w:rsidR="00BF17F7">
        <w:rPr>
          <w:rFonts w:hint="cs"/>
          <w:rtl/>
        </w:rPr>
        <w:t>קמא</w:t>
      </w:r>
      <w:r w:rsidR="00112E5D">
        <w:rPr>
          <w:rFonts w:hint="cs"/>
          <w:rtl/>
        </w:rPr>
        <w:t xml:space="preserve"> סימן </w:t>
      </w:r>
      <w:r>
        <w:rPr>
          <w:rFonts w:hint="cs"/>
          <w:rtl/>
        </w:rPr>
        <w:t>כה</w:t>
      </w:r>
    </w:p>
    <w:p w14:paraId="01EC3AE8" w14:textId="77777777" w:rsidR="00874051" w:rsidRDefault="00874051" w:rsidP="008D5D99">
      <w:pPr>
        <w:pStyle w:val="Heading1"/>
        <w:rPr>
          <w:rFonts w:hint="cs"/>
        </w:rPr>
      </w:pPr>
      <w:r w:rsidRPr="35C8E751">
        <w:rPr>
          <w:rtl/>
        </w:rPr>
        <w:t>הזמנה לגבי גופי קדושה</w:t>
      </w:r>
    </w:p>
    <w:p w14:paraId="5E9C92E6" w14:textId="77777777" w:rsidR="00874051" w:rsidRPr="00E720DF" w:rsidRDefault="00874051" w:rsidP="00874051">
      <w:pPr>
        <w:pStyle w:val="Heading2"/>
        <w:rPr>
          <w:rtl/>
        </w:rPr>
      </w:pPr>
      <w:r w:rsidRPr="35C8E751">
        <w:rPr>
          <w:rtl/>
        </w:rPr>
        <w:t>בעל המאור סוכה ד: בדפ׳׳ה</w:t>
      </w:r>
    </w:p>
    <w:p w14:paraId="37BC5960" w14:textId="77777777" w:rsidR="00874051" w:rsidRDefault="00874051" w:rsidP="00874051">
      <w:pPr>
        <w:pStyle w:val="Heading2"/>
        <w:rPr>
          <w:rtl/>
        </w:rPr>
      </w:pPr>
      <w:r>
        <w:rPr>
          <w:rFonts w:hint="cs"/>
          <w:rtl/>
        </w:rPr>
        <w:t xml:space="preserve">ארץ הצבי עמ' רמ סימן לד </w:t>
      </w:r>
      <w:r>
        <w:rPr>
          <w:rtl/>
        </w:rPr>
        <w:t>–</w:t>
      </w:r>
      <w:r>
        <w:rPr>
          <w:rFonts w:hint="cs"/>
          <w:rtl/>
        </w:rPr>
        <w:t xml:space="preserve"> בדין הזמנה מילתא בגופי קדושה</w:t>
      </w:r>
    </w:p>
    <w:p w14:paraId="44910140" w14:textId="77777777" w:rsidR="00E46983" w:rsidRDefault="00E46983" w:rsidP="000526CB">
      <w:pPr>
        <w:pStyle w:val="Heading1"/>
      </w:pPr>
      <w:r>
        <w:rPr>
          <w:rFonts w:hint="cs"/>
          <w:rtl/>
        </w:rPr>
        <w:t>שעטנז בוילונות</w:t>
      </w:r>
    </w:p>
    <w:p w14:paraId="09E9CB52" w14:textId="77777777" w:rsidR="00E46983" w:rsidRDefault="00E46983" w:rsidP="000526CB">
      <w:pPr>
        <w:pStyle w:val="Heading2"/>
        <w:rPr>
          <w:rtl/>
        </w:rPr>
      </w:pPr>
      <w:r>
        <w:rPr>
          <w:rFonts w:hint="cs"/>
          <w:rtl/>
        </w:rPr>
        <w:t>ביצה יד:</w:t>
      </w:r>
    </w:p>
    <w:p w14:paraId="6929BECF" w14:textId="77777777" w:rsidR="00E46983" w:rsidRDefault="00E46983" w:rsidP="00E46983">
      <w:pPr>
        <w:rPr>
          <w:rtl/>
        </w:rPr>
      </w:pPr>
      <w:r>
        <w:rPr>
          <w:rFonts w:hint="cs"/>
          <w:rtl/>
        </w:rPr>
        <w:t xml:space="preserve">משנה. משלחין כלים, בין תפורין בין שאינן תפורין, ואף על פי שיש בהן כלאים, והן לצורך המועד. אבל לא סנדל המסומר, ולא מנעל שאינו תפור. רבי יהודה אומר: אף לא מנעל לבן, מפני שצריך אומן. זה הכלל: כל שנאותין בו - ביום טוב משלחין אותו.  </w:t>
      </w:r>
    </w:p>
    <w:p w14:paraId="018A09FB" w14:textId="77777777" w:rsidR="00E46983" w:rsidRDefault="00E46983" w:rsidP="00E46983">
      <w:pPr>
        <w:rPr>
          <w:rtl/>
        </w:rPr>
      </w:pPr>
      <w:r>
        <w:rPr>
          <w:rFonts w:hint="cs"/>
          <w:rtl/>
        </w:rPr>
        <w:t xml:space="preserve">  גמרא. בשלמא תפורין - חזו למלבוש; שאין תפורין נמי - חזו לכסויי, אלא כלאים למאי חזו? וכי תימא: חזו למימך תותיה, והתניא: אלא יעלה עליך - אבל אתה יכול להציעו תחתיך. אבל אמרו חכמים: אסור לעשות כן, שמא תכרך לו נימא על בשרו. וכי תימא: דמפסיק מידי ביני ביני, והאמר רבי שמעון בן פזי אמר רבי יהושע בן לוי אמר רבי יוסי בן שאול אמר רבי משום קהלא קדישא דבירושלים: אפילו עשר מצעות זו על גבי זו וכלאים תחתיהן - אסור לישן עליהם, (משום שנאמר לא יעלה עליך) - אלא בוילון. - והאמר עולא: מפני מה אמרו וילון טמא - מפני שהשמש מתחמם כנגדו! אלא בקשין, וכי הא דאמר רב הונא בריה דרב יהושע: האי נמטא גמדא דנרש שריא. אמר רב פפא: ערדלין אין בהן משום כלאים, אמר רבא: הני צררי דפשיטי אין בהם משום כלאים, דבזרני - יש בהם משום כלאים. רב אשי אמר: אחד זה ואחד זה אין בהן משום כלאים, לפי שאין דרך חמום בכך.</w:t>
      </w:r>
    </w:p>
    <w:p w14:paraId="27ADA28C" w14:textId="77777777" w:rsidR="00E46983" w:rsidRDefault="00E46983" w:rsidP="000526CB">
      <w:pPr>
        <w:pStyle w:val="Heading2"/>
      </w:pPr>
      <w:r>
        <w:rPr>
          <w:rFonts w:hint="cs"/>
          <w:rtl/>
        </w:rPr>
        <w:t>תוספות ביצה יד: ד"ה מפני</w:t>
      </w:r>
    </w:p>
    <w:p w14:paraId="4B41AFD3" w14:textId="77777777" w:rsidR="00E46983" w:rsidRDefault="00E46983" w:rsidP="000526CB">
      <w:pPr>
        <w:pStyle w:val="Heading2"/>
        <w:rPr>
          <w:rtl/>
        </w:rPr>
      </w:pPr>
      <w:r>
        <w:rPr>
          <w:rFonts w:hint="cs"/>
          <w:rtl/>
        </w:rPr>
        <w:t>שלחן ערוך יורה דעה שא:יא</w:t>
      </w:r>
    </w:p>
    <w:p w14:paraId="047B1BF5" w14:textId="4686F6C6" w:rsidR="00874051" w:rsidRDefault="00E46983" w:rsidP="00E46983">
      <w:pPr>
        <w:rPr>
          <w:sz w:val="20"/>
          <w:szCs w:val="20"/>
        </w:rPr>
      </w:pPr>
      <w:r>
        <w:rPr>
          <w:rFonts w:hint="cs"/>
          <w:rtl/>
        </w:rPr>
        <w:t xml:space="preserve">וילון, אם הוא רך, אסור לעשותו מכלאים, מפני שהשמש מתחמם בו לפעמים. ואם היה קשה, מותר. </w:t>
      </w:r>
      <w:r>
        <w:rPr>
          <w:rFonts w:hint="cs"/>
          <w:sz w:val="18"/>
          <w:szCs w:val="18"/>
          <w:rtl/>
        </w:rPr>
        <w:t>הגה: אבל פרוכת שלפני ארון הקודש, או המפות שפורסין בארון או סביב התורה, מותר להיות מכלאים. (שם בהגהות אשיר"י)</w:t>
      </w:r>
      <w:r>
        <w:rPr>
          <w:rFonts w:hint="cs"/>
          <w:sz w:val="20"/>
          <w:szCs w:val="20"/>
          <w:rtl/>
        </w:rPr>
        <w:t>.</w:t>
      </w:r>
    </w:p>
    <w:p w14:paraId="42B5D7B5" w14:textId="0A53ED4F" w:rsidR="007136FA" w:rsidRDefault="007136FA" w:rsidP="007136FA">
      <w:pPr>
        <w:pStyle w:val="Heading2"/>
        <w:rPr>
          <w:rtl/>
        </w:rPr>
      </w:pPr>
      <w:r>
        <w:rPr>
          <w:rFonts w:hint="cs"/>
          <w:rtl/>
        </w:rPr>
        <w:t>ט"ז יורה דעה שא:יא</w:t>
      </w:r>
    </w:p>
    <w:p w14:paraId="5FFBA4FB" w14:textId="3C5E6958" w:rsidR="007136FA" w:rsidRDefault="007136FA" w:rsidP="007136FA">
      <w:pPr>
        <w:rPr>
          <w:rtl/>
        </w:rPr>
      </w:pPr>
      <w:r w:rsidRPr="007136FA">
        <w:rPr>
          <w:rtl/>
        </w:rPr>
        <w:t>או סביב התורה. כן הוא בהגה' אשר"י פרק בני העיר אבל מפה שפורסין בארון הקודש תחת ספרי תורה או סביב התורה אבל בפירוש המשניות להרמב"ם פרק בתרא דכלאים מפות ספרים היינו מספר תורה שיאחז בהם ספר תורה בשעת קריאתו יש בו משום כלאים. וכן כתוב במיימוני מטפחת ספר תורה כו' וע"כ נראה דודאי אסור לעשות המעיל של ספר תורה שקורין מענטלי' או המפה שכורכין סביב הס"ת עצמה מכלאים דהרי אנו רואין שהשמש אוחזה הרבה פעמים בידו ויש לחוש לחימום בעת הקור ובהגהת אשר"י לא מיירי מזה אלא שעושין בארון הקודש עצמו איזה מפה תחת הס"ת או סביב התורה אבל אין אותם המפות נכנסות ויוצאות עם הס"ת אלא נשארו בארון הקודש לעולם כנלע"ד:</w:t>
      </w:r>
    </w:p>
    <w:p w14:paraId="0CFC1FD3" w14:textId="60F00D60" w:rsidR="00507914" w:rsidRDefault="00507914" w:rsidP="00507914">
      <w:pPr>
        <w:pStyle w:val="Heading2"/>
        <w:rPr>
          <w:rtl/>
        </w:rPr>
      </w:pPr>
      <w:r>
        <w:rPr>
          <w:rFonts w:hint="cs"/>
          <w:rtl/>
        </w:rPr>
        <w:t>שלחן ערוך אורח חיים קנד:ו</w:t>
      </w:r>
    </w:p>
    <w:p w14:paraId="743E06CB" w14:textId="408FF5E8" w:rsidR="00507914" w:rsidRDefault="00507914" w:rsidP="00507914">
      <w:pPr>
        <w:rPr>
          <w:sz w:val="18"/>
          <w:szCs w:val="18"/>
          <w:rtl/>
        </w:rPr>
      </w:pPr>
      <w:r w:rsidRPr="00507914">
        <w:rPr>
          <w:rtl/>
        </w:rPr>
        <w:t xml:space="preserve">אין עושין מתיבה כסא לס"ת; אבל מותר לעשות מתיבה גדולה קטנה, וכן מותר לעשות מכסא גדול כסא קטן, אבל אסור לעשות ממנו שרפרף (פי' כסא קטן) לכסא; וכן מותר לעשות מוילון גדול וילון קטן, או לעשות ממנו כיס לס"ת; אבל לעשות ממנו כיס לחומש, אסור. </w:t>
      </w:r>
      <w:r>
        <w:rPr>
          <w:sz w:val="18"/>
          <w:szCs w:val="18"/>
          <w:rtl/>
        </w:rPr>
        <w:t>הגה:</w:t>
      </w:r>
      <w:r w:rsidRPr="00507914">
        <w:rPr>
          <w:sz w:val="18"/>
          <w:szCs w:val="18"/>
          <w:rtl/>
        </w:rPr>
        <w:t xml:space="preserve"> ופרוכת שאנחנו תולין לפני הארון אין לו קדוש</w:t>
      </w:r>
      <w:r>
        <w:rPr>
          <w:sz w:val="18"/>
          <w:szCs w:val="18"/>
          <w:rtl/>
        </w:rPr>
        <w:t xml:space="preserve">ת ארון, רק קדושת בהכ"נ; </w:t>
      </w:r>
      <w:r w:rsidRPr="00507914">
        <w:rPr>
          <w:sz w:val="18"/>
          <w:szCs w:val="18"/>
          <w:rtl/>
        </w:rPr>
        <w:t>וכן</w:t>
      </w:r>
      <w:r>
        <w:rPr>
          <w:sz w:val="18"/>
          <w:szCs w:val="18"/>
          <w:rtl/>
        </w:rPr>
        <w:t xml:space="preserve"> הכלונסות שבו תולין הפרוכת, </w:t>
      </w:r>
      <w:r w:rsidRPr="00507914">
        <w:rPr>
          <w:sz w:val="18"/>
          <w:szCs w:val="18"/>
          <w:rtl/>
        </w:rPr>
        <w:t>ומ"מ אסור לעשות מהם העצים שמסמנים בו הקריא</w:t>
      </w:r>
      <w:r>
        <w:rPr>
          <w:sz w:val="18"/>
          <w:szCs w:val="18"/>
          <w:rtl/>
        </w:rPr>
        <w:t>ה לחובת היום, שאינן</w:t>
      </w:r>
      <w:r w:rsidRPr="00507914">
        <w:rPr>
          <w:sz w:val="18"/>
          <w:szCs w:val="18"/>
          <w:rtl/>
        </w:rPr>
        <w:t xml:space="preserve"> קדושים כמו הם (פסקי מהרא"י סי' רכ"ה).</w:t>
      </w:r>
    </w:p>
    <w:p w14:paraId="6DD989D7" w14:textId="75763C72" w:rsidR="004673A5" w:rsidRDefault="004673A5" w:rsidP="004673A5">
      <w:pPr>
        <w:pStyle w:val="Heading2"/>
        <w:rPr>
          <w:rFonts w:hint="cs"/>
          <w:rtl/>
        </w:rPr>
      </w:pPr>
      <w:r>
        <w:rPr>
          <w:rFonts w:hint="cs"/>
          <w:rtl/>
        </w:rPr>
        <w:t>מגן אברהם קנד:ג</w:t>
      </w:r>
    </w:p>
    <w:p w14:paraId="53F9D31E" w14:textId="2FBC35EC" w:rsidR="004673A5" w:rsidRPr="004673A5" w:rsidRDefault="004673A5" w:rsidP="004673A5">
      <w:pPr>
        <w:rPr>
          <w:rtl/>
        </w:rPr>
      </w:pPr>
      <w:r w:rsidRPr="004673A5">
        <w:rPr>
          <w:rtl/>
        </w:rPr>
        <w:t>אין לו קדושת ארון. דלעולם אין נותנין עליו הס"ת בלי מטפחת וכ"כ מהר"מ פדואה סי' פ"ב דמותר לעשות מפרוכת מפה שעל השלחן ומ"מ צ"ע למה נהגו לפורסו לחופה לחתנים ואפשר דלב בית דין מתנה עליהם וכמ"ש ס"ח ועס"י:</w:t>
      </w:r>
    </w:p>
    <w:p w14:paraId="30AE4610" w14:textId="5AF3F372" w:rsidR="00FB2DAE" w:rsidRDefault="00FB2DAE" w:rsidP="00FB2DAE">
      <w:pPr>
        <w:pStyle w:val="Heading1"/>
        <w:rPr>
          <w:rtl/>
        </w:rPr>
      </w:pPr>
      <w:bookmarkStart w:id="1" w:name="_Toc497158532"/>
      <w:r>
        <w:rPr>
          <w:rFonts w:hint="cs"/>
          <w:rtl/>
        </w:rPr>
        <w:lastRenderedPageBreak/>
        <w:t xml:space="preserve">חופה ונשואין </w:t>
      </w:r>
      <w:r>
        <w:rPr>
          <w:rtl/>
        </w:rPr>
        <w:t>–</w:t>
      </w:r>
      <w:r>
        <w:rPr>
          <w:rFonts w:hint="cs"/>
          <w:rtl/>
        </w:rPr>
        <w:t xml:space="preserve"> דרך עשייתה</w:t>
      </w:r>
      <w:bookmarkEnd w:id="1"/>
    </w:p>
    <w:p w14:paraId="3BB3DB7F" w14:textId="77777777" w:rsidR="00C57D62" w:rsidRPr="005B29FF" w:rsidRDefault="00C57D62" w:rsidP="00C57D62">
      <w:pPr>
        <w:pStyle w:val="Heading2"/>
        <w:rPr>
          <w:shd w:val="clear" w:color="auto" w:fill="FFFFFF"/>
        </w:rPr>
      </w:pPr>
      <w:r w:rsidRPr="005B29FF">
        <w:rPr>
          <w:shd w:val="clear" w:color="auto" w:fill="FFFFFF"/>
          <w:rtl/>
        </w:rPr>
        <w:t>תוספות יומא יג: ד"ה לחדא</w:t>
      </w:r>
    </w:p>
    <w:p w14:paraId="5BCF5319" w14:textId="036489F4" w:rsidR="00C57D62" w:rsidRPr="00C57D62" w:rsidRDefault="00C57D62" w:rsidP="00C57D62">
      <w:pPr>
        <w:spacing w:line="256" w:lineRule="auto"/>
        <w:rPr>
          <w:rtl/>
        </w:rPr>
      </w:pPr>
      <w:r w:rsidRPr="005B29FF">
        <w:t>...</w:t>
      </w:r>
      <w:r w:rsidRPr="005B29FF">
        <w:rPr>
          <w:rtl/>
        </w:rPr>
        <w:t>בירושלמי משמע אשה אחרת מתקינין לו מזמנין אותהשאם תמות אשתו ביום הכפורים שיקדש זאת ביוה"כ ופליג אגמרא דידןדפריך התם ויקדש מאתמול דמשמע ליה מתקינין בהזמנה בעלמא ומשניוכפר בעדו ובעד ביתו (ויקרא טז) ולא בעד שני בתים ופריך ולא נמצא כקונהקנין בשבת ומשני משום שבות התירו במקדש א"ר חנינא הדא אמרת הליןדכנסין ארמלן צריך לכונסן מבעוד יום שלא יהא כקונה קנין בשבת</w:t>
      </w:r>
    </w:p>
    <w:p w14:paraId="28C2A8B5" w14:textId="77777777" w:rsidR="00FB2DAE" w:rsidRDefault="00FB2DAE" w:rsidP="00FB2DAE">
      <w:pPr>
        <w:pStyle w:val="Heading2"/>
        <w:rPr>
          <w:rtl/>
        </w:rPr>
      </w:pPr>
      <w:r>
        <w:rPr>
          <w:rFonts w:hint="cs"/>
          <w:rtl/>
        </w:rPr>
        <w:t>רמב"ם הלכות אישות פרק י</w:t>
      </w:r>
    </w:p>
    <w:p w14:paraId="5547DC86" w14:textId="77777777" w:rsidR="00FB2DAE" w:rsidRDefault="00FB2DAE" w:rsidP="00FB2DAE">
      <w:pPr>
        <w:pStyle w:val="Heading2"/>
        <w:rPr>
          <w:rtl/>
        </w:rPr>
      </w:pPr>
      <w:r>
        <w:rPr>
          <w:rFonts w:hint="cs"/>
          <w:rtl/>
        </w:rPr>
        <w:t xml:space="preserve">ר"ן כתובות </w:t>
      </w:r>
      <w:r>
        <w:rPr>
          <w:rtl/>
        </w:rPr>
        <w:t>–</w:t>
      </w:r>
      <w:r>
        <w:rPr>
          <w:rFonts w:hint="cs"/>
          <w:rtl/>
        </w:rPr>
        <w:t xml:space="preserve"> א. בדפי הרי"ף</w:t>
      </w:r>
    </w:p>
    <w:p w14:paraId="048D0097" w14:textId="77777777" w:rsidR="00FB2DAE" w:rsidRDefault="00FB2DAE" w:rsidP="00FB2DAE">
      <w:pPr>
        <w:pStyle w:val="Heading2"/>
        <w:rPr>
          <w:rtl/>
        </w:rPr>
      </w:pPr>
      <w:r>
        <w:rPr>
          <w:rFonts w:hint="cs"/>
          <w:rtl/>
        </w:rPr>
        <w:t>שלחן ערוך אבן העזר נה:א</w:t>
      </w:r>
    </w:p>
    <w:p w14:paraId="305C5289" w14:textId="77777777" w:rsidR="00FB2DAE" w:rsidRDefault="00FB2DAE" w:rsidP="00FB2DAE">
      <w:pPr>
        <w:rPr>
          <w:rtl/>
        </w:rPr>
      </w:pPr>
      <w:r>
        <w:rPr>
          <w:rtl/>
        </w:rPr>
        <w:t>הארוסה,</w:t>
      </w:r>
      <w:r w:rsidRPr="005B1574">
        <w:rPr>
          <w:rtl/>
        </w:rPr>
        <w:t xml:space="preserve"> אסורה לבעלה מדברי סופרים, כל זמן שהיא בבית אביה; והבא על ארוסתו בבית חמיו, מכין אותו מכת מרדות. הגה: ואפילו ביחוד, אסורים; ולכן ארוס שהוא עם ארוסתו בבית א', מברכין ז' ברכות פן יתייחדו (מרדכי פ"ק דכתובות). וי"א דאין להם לדור ביחד, שמא יקוצו זה בזה (כל בו). ואפילו בשדוכין בלא ארוסין יש לחוש (חידושי אגודה פרק קמא דכתובות). אפילו אם </w:t>
      </w:r>
      <w:r>
        <w:rPr>
          <w:rtl/>
        </w:rPr>
        <w:t>קדשה בביאה, אסור לו לבא עליה</w:t>
      </w:r>
      <w:r w:rsidRPr="005B1574">
        <w:rPr>
          <w:rtl/>
        </w:rPr>
        <w:t xml:space="preserve"> ביאה שניה בבית א</w:t>
      </w:r>
      <w:r>
        <w:rPr>
          <w:rtl/>
        </w:rPr>
        <w:t xml:space="preserve">ביה, עד שיביא אותה לתוך ביתו ויתייחד עמה ויפרישנה לו, </w:t>
      </w:r>
      <w:r w:rsidRPr="005B1574">
        <w:rPr>
          <w:rtl/>
        </w:rPr>
        <w:t>ויחוד זה הוא נקרא כניסה לחופה, והוא הנקרא נשואין בכ</w:t>
      </w:r>
      <w:r>
        <w:rPr>
          <w:rtl/>
        </w:rPr>
        <w:t xml:space="preserve">ל מקום. והבא על ארוסתו </w:t>
      </w:r>
      <w:r w:rsidRPr="005B1574">
        <w:rPr>
          <w:rtl/>
        </w:rPr>
        <w:t>לשם נשואין, אחר שקידשה, משיערה בה, קנאה, ונעשית נשואה והרי היא כאשתו לכל דבר, וצריך לברך ברכת חתנים בבית החתן ק</w:t>
      </w:r>
      <w:r>
        <w:rPr>
          <w:rtl/>
        </w:rPr>
        <w:t xml:space="preserve">ודם הנשואין. </w:t>
      </w:r>
      <w:r w:rsidRPr="005B1574">
        <w:rPr>
          <w:rtl/>
        </w:rPr>
        <w:t>הגה: וי"א דחופה אינה יחוד, אלא כל שהביאה החתן לביתו לשם נשואין (כ"כ הר"ן בשי"א ריש כתובות). וי"א שהחופה היא שפורסין סודר על ראשם בשעת הברכה (הב"י הביאו). וי"א דחופת בתולה משיצאה בהינומא; ואלמנה, משנתייחדו (תוספות פ"ק דיומא). והמנהג פשוט עכשיו לקרות חופה מקום שמכניסים שם יריעה פרוסה על גבי כלונסות, ומכנ</w:t>
      </w:r>
      <w:r>
        <w:rPr>
          <w:rtl/>
        </w:rPr>
        <w:t>יסים תחתיה החתן והכלה ברבים,</w:t>
      </w:r>
      <w:r w:rsidRPr="005B1574">
        <w:rPr>
          <w:rtl/>
        </w:rPr>
        <w:t xml:space="preserve"> ומקדשה שם ומברכין שם ברכת ארוסין ונשואין, ואח"כ מוליכים אותם לבית ואוכלים ביחד במקום צנוע, וזהו החופה הנוהגת עכשיו. ועיין לקמן סי' ס"ב סע' ט' וסימן ס"א.  </w:t>
      </w:r>
    </w:p>
    <w:p w14:paraId="60D715A7" w14:textId="77777777" w:rsidR="00FB2DAE" w:rsidRPr="00203A6F" w:rsidRDefault="00FB2DAE" w:rsidP="00FB2DAE">
      <w:pPr>
        <w:pStyle w:val="Heading2"/>
        <w:rPr>
          <w:rtl/>
        </w:rPr>
      </w:pPr>
      <w:r>
        <w:rPr>
          <w:rFonts w:hint="cs"/>
          <w:rtl/>
        </w:rPr>
        <w:t>שלחן ערוך אבן העזר סא:א</w:t>
      </w:r>
    </w:p>
    <w:p w14:paraId="131AFABD" w14:textId="2920B7F9" w:rsidR="00FB2DAE" w:rsidRDefault="00575895" w:rsidP="00FB2DAE">
      <w:pPr>
        <w:pStyle w:val="Heading2"/>
        <w:rPr>
          <w:rtl/>
        </w:rPr>
      </w:pPr>
      <w:r>
        <w:rPr>
          <w:rFonts w:hint="cs"/>
          <w:rtl/>
        </w:rPr>
        <w:t>בעקבי הצאן עמ' רסה</w:t>
      </w:r>
    </w:p>
    <w:p w14:paraId="63C2511A" w14:textId="3D6B274A" w:rsidR="00FB2DAE" w:rsidRDefault="002B5E3E" w:rsidP="002B5E3E">
      <w:pPr>
        <w:pStyle w:val="Heading1"/>
        <w:rPr>
          <w:rtl/>
        </w:rPr>
      </w:pPr>
      <w:r>
        <w:rPr>
          <w:rFonts w:hint="cs"/>
          <w:rtl/>
        </w:rPr>
        <w:t xml:space="preserve">הזמנה </w:t>
      </w:r>
      <w:r>
        <w:rPr>
          <w:rtl/>
        </w:rPr>
        <w:t>–</w:t>
      </w:r>
      <w:r>
        <w:rPr>
          <w:rFonts w:hint="cs"/>
          <w:rtl/>
        </w:rPr>
        <w:t xml:space="preserve"> אזמניה קודם ש</w:t>
      </w:r>
      <w:r w:rsidR="00881148">
        <w:rPr>
          <w:rFonts w:hint="cs"/>
          <w:rtl/>
        </w:rPr>
        <w:t>נאמר פרשתו</w:t>
      </w:r>
    </w:p>
    <w:p w14:paraId="65B6D398" w14:textId="65DCCDF6" w:rsidR="002B5E3E" w:rsidRDefault="002B5E3E" w:rsidP="002B5E3E">
      <w:pPr>
        <w:pStyle w:val="Heading2"/>
        <w:rPr>
          <w:rtl/>
        </w:rPr>
      </w:pPr>
      <w:r>
        <w:rPr>
          <w:rtl/>
        </w:rPr>
        <w:t xml:space="preserve">חידושי הגרי"ז סימן קמט   </w:t>
      </w:r>
    </w:p>
    <w:p w14:paraId="31E0564C" w14:textId="77777777" w:rsidR="002B5E3E" w:rsidRDefault="002B5E3E" w:rsidP="002B5E3E">
      <w:pPr>
        <w:rPr>
          <w:rtl/>
        </w:rPr>
      </w:pPr>
      <w:r>
        <w:rPr>
          <w:rtl/>
        </w:rPr>
        <w:t>עקב (י', א') בעת ההיא אמר ה' אלי. ובפרש"י, בסוף מ' יום נתרצה לי ואמר לי פסל לך ואח"כ ועשית ארון, ואני עשיתי ארון תחלה כשאבוא והלוחות בידי היכן אתנם וגו'. וצ"ב דלפ"ז למה נצטווה להיפך.</w:t>
      </w:r>
    </w:p>
    <w:p w14:paraId="065B608E" w14:textId="77777777" w:rsidR="002B5E3E" w:rsidRDefault="002B5E3E" w:rsidP="002B5E3E">
      <w:pPr>
        <w:rPr>
          <w:rtl/>
        </w:rPr>
      </w:pPr>
      <w:r>
        <w:rPr>
          <w:rtl/>
        </w:rPr>
        <w:t xml:space="preserve">והנראה דהנה יש מחלוקת בסנהדרין (מ"ז ע"ב) אם הזמנה מילתא היא או לא, ובזה המחלוקת היא למשל על תיק של תפילין אם הזמין התיק בשביל תפילין הגם שאין לו תפילין, אבל אם לא נאמר כלל דין תפילין לא שייך לומר שיזמין תיק בשביל תפילין, דל"ש הזמנה לדבר שאיננו, ולפי"ז הארון הוא רק בשביל הלוחות, (וגם הארון של מקדש הוא רק בשביל הלוחות, והראיה שהרי בבית שני לא עשו ארון ומוכרח דהטעם הוא בשביל שלא היו הלוחות), וא"כ א"א היה לצוות על עשיית ארון קודם שנאמר "פסל לך שני לוחות" - כל זמן שלא היו הלוחות, דלא שייך עשיית ארון דתכליתו ל"לוחות" קודם שנאמר בכלל לוחות בעולם, אבל כשנאמר "לוחות" שוב בעשיה שפיר שייך שיעשה קודם הארון, ודו"ק. </w:t>
      </w:r>
    </w:p>
    <w:p w14:paraId="2F3583F1" w14:textId="7A93CAE0" w:rsidR="002B5E3E" w:rsidRPr="002B5E3E" w:rsidRDefault="002B5E3E" w:rsidP="002B5E3E">
      <w:pPr>
        <w:rPr>
          <w:rFonts w:hint="cs"/>
          <w:rtl/>
        </w:rPr>
      </w:pPr>
      <w:r>
        <w:rPr>
          <w:rtl/>
        </w:rPr>
        <w:t xml:space="preserve">   </w:t>
      </w:r>
    </w:p>
    <w:sectPr w:rsidR="002B5E3E" w:rsidRPr="002B5E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ADAA" w14:textId="77777777" w:rsidR="00EC675D" w:rsidRDefault="00EC675D" w:rsidP="009F4441">
      <w:pPr>
        <w:spacing w:after="0" w:line="240" w:lineRule="auto"/>
      </w:pPr>
      <w:r>
        <w:separator/>
      </w:r>
    </w:p>
  </w:endnote>
  <w:endnote w:type="continuationSeparator" w:id="0">
    <w:p w14:paraId="33A222E3" w14:textId="77777777" w:rsidR="00EC675D" w:rsidRDefault="00EC675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3018" w14:textId="77777777" w:rsidR="00D12981" w:rsidRDefault="00D1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0F0B"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F40" w14:textId="77777777" w:rsidR="00D12981" w:rsidRDefault="00D1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673C" w14:textId="77777777" w:rsidR="00EC675D" w:rsidRDefault="00EC675D" w:rsidP="009F4441">
      <w:pPr>
        <w:spacing w:after="0" w:line="240" w:lineRule="auto"/>
      </w:pPr>
      <w:r>
        <w:separator/>
      </w:r>
    </w:p>
  </w:footnote>
  <w:footnote w:type="continuationSeparator" w:id="0">
    <w:p w14:paraId="2E47C3D1" w14:textId="77777777" w:rsidR="00EC675D" w:rsidRDefault="00EC675D"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A8C0" w14:textId="77777777" w:rsidR="00D12981" w:rsidRDefault="00D12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6A1" w14:textId="39E7A499"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EC675D" w:rsidRPr="00EC675D">
      <w:rPr>
        <w:rtl/>
      </w:rPr>
      <w:t xml:space="preserve">   ‏‏‏ב' טבת תשע"ח</w:t>
    </w:r>
    <w:r w:rsidR="00EC675D" w:rsidRPr="00EC675D">
      <w:rPr>
        <w:rtl/>
      </w:rPr>
      <w:tab/>
    </w:r>
    <w:r>
      <w:rPr>
        <w:rtl/>
      </w:rPr>
      <w:tab/>
    </w:r>
    <w:r w:rsidR="00EC675D">
      <w:rPr>
        <w:rtl/>
      </w:rPr>
      <w:tab/>
    </w:r>
    <w:r w:rsidRPr="00C52284">
      <w:rPr>
        <w:rtl/>
      </w:rPr>
      <w:t xml:space="preserve"> שיעור </w:t>
    </w:r>
    <w:r w:rsidR="00EC675D">
      <w:rPr>
        <w:rFonts w:hint="cs"/>
        <w:rtl/>
      </w:rPr>
      <w:t xml:space="preserve">נ"ג - </w:t>
    </w:r>
    <w:r>
      <w:rPr>
        <w:rFonts w:hint="cs"/>
        <w:rtl/>
      </w:rPr>
      <w:t xml:space="preserve">מסכת </w:t>
    </w:r>
    <w:r w:rsidR="00EC675D">
      <w:rPr>
        <w:rFonts w:hint="cs"/>
        <w:rtl/>
      </w:rPr>
      <w:t>ברכות כג</w:t>
    </w:r>
    <w:r>
      <w:rPr>
        <w:rFonts w:hint="cs"/>
        <w:rtl/>
      </w:rPr>
      <w:t>.</w:t>
    </w:r>
    <w:r w:rsidR="00D12981">
      <w:rPr>
        <w:rFonts w:hint="cs"/>
        <w:rtl/>
      </w:rPr>
      <w:t>-כג:</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FA45" w14:textId="77777777" w:rsidR="00D12981" w:rsidRDefault="00D12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5D"/>
    <w:rsid w:val="00015205"/>
    <w:rsid w:val="000526CB"/>
    <w:rsid w:val="000C25FD"/>
    <w:rsid w:val="00112E5D"/>
    <w:rsid w:val="001A3E2F"/>
    <w:rsid w:val="002969FD"/>
    <w:rsid w:val="002B5E3E"/>
    <w:rsid w:val="002D7162"/>
    <w:rsid w:val="0031723D"/>
    <w:rsid w:val="004673A5"/>
    <w:rsid w:val="00507914"/>
    <w:rsid w:val="00575895"/>
    <w:rsid w:val="007136FA"/>
    <w:rsid w:val="008571D6"/>
    <w:rsid w:val="00874051"/>
    <w:rsid w:val="00881148"/>
    <w:rsid w:val="008D5D99"/>
    <w:rsid w:val="009326B2"/>
    <w:rsid w:val="00956530"/>
    <w:rsid w:val="009F4441"/>
    <w:rsid w:val="00BF17F7"/>
    <w:rsid w:val="00C47AA7"/>
    <w:rsid w:val="00C57D62"/>
    <w:rsid w:val="00CB0C1F"/>
    <w:rsid w:val="00D12981"/>
    <w:rsid w:val="00E46983"/>
    <w:rsid w:val="00E65CCF"/>
    <w:rsid w:val="00EC675D"/>
    <w:rsid w:val="00FB2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163D"/>
  <w15:chartTrackingRefBased/>
  <w15:docId w15:val="{FA18D15C-EC51-4670-847D-12CF169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96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2969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F17F7"/>
    <w:rPr>
      <w:color w:val="0563C1" w:themeColor="hyperlink"/>
      <w:u w:val="single"/>
    </w:rPr>
  </w:style>
  <w:style w:type="character" w:styleId="UnresolvedMention">
    <w:name w:val="Unresolved Mention"/>
    <w:basedOn w:val="DefaultParagraphFont"/>
    <w:uiPriority w:val="99"/>
    <w:semiHidden/>
    <w:unhideWhenUsed/>
    <w:rsid w:val="00BF1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4334&amp;st=&amp;pgnum=41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22</cp:revision>
  <dcterms:created xsi:type="dcterms:W3CDTF">2017-12-20T17:55:00Z</dcterms:created>
  <dcterms:modified xsi:type="dcterms:W3CDTF">2017-12-20T19:23:00Z</dcterms:modified>
</cp:coreProperties>
</file>