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E09AA"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15A59321" w14:textId="77777777" w:rsidR="009F4441" w:rsidRDefault="00865B54" w:rsidP="009F4441">
      <w:pPr>
        <w:pStyle w:val="Subtitle"/>
        <w:rPr>
          <w:rtl/>
        </w:rPr>
      </w:pPr>
      <w:r>
        <w:rPr>
          <w:rFonts w:hint="cs"/>
          <w:rtl/>
        </w:rPr>
        <w:t>פרשת וזאת הברכה</w:t>
      </w:r>
    </w:p>
    <w:p w14:paraId="488ABC07" w14:textId="69D67E8E" w:rsidR="001C7410" w:rsidRDefault="00E56F46" w:rsidP="0038147F">
      <w:pPr>
        <w:pStyle w:val="Heading1"/>
        <w:rPr>
          <w:rtl/>
        </w:rPr>
      </w:pPr>
      <w:r>
        <w:rPr>
          <w:rFonts w:hint="cs"/>
          <w:rtl/>
        </w:rPr>
        <w:t>ברכה בלון נוכח</w:t>
      </w:r>
    </w:p>
    <w:p w14:paraId="64C1F210" w14:textId="526D5CE0" w:rsidR="00E56F46" w:rsidRDefault="00E56F46" w:rsidP="00E56F46">
      <w:pPr>
        <w:pStyle w:val="Heading2"/>
        <w:rPr>
          <w:rtl/>
        </w:rPr>
      </w:pPr>
      <w:proofErr w:type="spellStart"/>
      <w:r>
        <w:rPr>
          <w:rFonts w:hint="cs"/>
          <w:rtl/>
        </w:rPr>
        <w:t>ספורנו</w:t>
      </w:r>
      <w:proofErr w:type="spellEnd"/>
      <w:r>
        <w:rPr>
          <w:rFonts w:hint="cs"/>
          <w:rtl/>
        </w:rPr>
        <w:t xml:space="preserve"> דברים </w:t>
      </w:r>
      <w:proofErr w:type="spellStart"/>
      <w:r>
        <w:rPr>
          <w:rFonts w:hint="cs"/>
          <w:rtl/>
        </w:rPr>
        <w:t>לג:ב</w:t>
      </w:r>
      <w:proofErr w:type="spellEnd"/>
    </w:p>
    <w:p w14:paraId="4890D351" w14:textId="6D48E395" w:rsidR="00E56F46" w:rsidRDefault="00E56F46" w:rsidP="00E56F46">
      <w:r w:rsidRPr="00E56F46">
        <w:rPr>
          <w:rtl/>
        </w:rPr>
        <w:t xml:space="preserve">ויאמר. וקודם שהתחיל הברכה </w:t>
      </w:r>
      <w:proofErr w:type="spellStart"/>
      <w:r w:rsidRPr="00E56F46">
        <w:rPr>
          <w:rtl/>
        </w:rPr>
        <w:t>המתחלת</w:t>
      </w:r>
      <w:proofErr w:type="spellEnd"/>
      <w:r w:rsidRPr="00E56F46">
        <w:rPr>
          <w:rtl/>
        </w:rPr>
        <w:t xml:space="preserve"> ברזל </w:t>
      </w:r>
      <w:proofErr w:type="spellStart"/>
      <w:r w:rsidRPr="00E56F46">
        <w:rPr>
          <w:rtl/>
        </w:rPr>
        <w:t>ונחשת</w:t>
      </w:r>
      <w:proofErr w:type="spellEnd"/>
      <w:r w:rsidRPr="00E56F46">
        <w:rPr>
          <w:rtl/>
        </w:rPr>
        <w:t xml:space="preserve"> מנעליך אמר זאת ההקדמה והתפלל על השבטים למען תחול ברכתו כי אמנם דברי הברכה בכל מקום מדברים עם המבורך </w:t>
      </w:r>
      <w:proofErr w:type="spellStart"/>
      <w:r w:rsidRPr="00E56F46">
        <w:rPr>
          <w:rtl/>
        </w:rPr>
        <w:t>כאמרו</w:t>
      </w:r>
      <w:proofErr w:type="spellEnd"/>
      <w:r w:rsidRPr="00E56F46">
        <w:rPr>
          <w:rtl/>
        </w:rPr>
        <w:t xml:space="preserve"> אמור להם. וכן כל דבריו מברזל </w:t>
      </w:r>
      <w:proofErr w:type="spellStart"/>
      <w:r w:rsidRPr="00E56F46">
        <w:rPr>
          <w:rtl/>
        </w:rPr>
        <w:t>ונחשת</w:t>
      </w:r>
      <w:proofErr w:type="spellEnd"/>
      <w:r w:rsidRPr="00E56F46">
        <w:rPr>
          <w:rtl/>
        </w:rPr>
        <w:t xml:space="preserve"> עד על </w:t>
      </w:r>
      <w:proofErr w:type="spellStart"/>
      <w:r w:rsidRPr="00E56F46">
        <w:rPr>
          <w:rtl/>
        </w:rPr>
        <w:t>במותימו</w:t>
      </w:r>
      <w:proofErr w:type="spellEnd"/>
      <w:r w:rsidRPr="00E56F46">
        <w:rPr>
          <w:rtl/>
        </w:rPr>
        <w:t xml:space="preserve"> תדרוך היו עם ישראל אבל דבריו הקודמים היו עם האל לבקש מלפניו על עמו:</w:t>
      </w:r>
    </w:p>
    <w:p w14:paraId="204FC9C3" w14:textId="329D9EFA" w:rsidR="00841C28" w:rsidRDefault="00841C28" w:rsidP="009F5EBD">
      <w:pPr>
        <w:pStyle w:val="Heading2"/>
        <w:rPr>
          <w:rtl/>
        </w:rPr>
      </w:pPr>
      <w:r>
        <w:rPr>
          <w:rFonts w:hint="cs"/>
          <w:rtl/>
        </w:rPr>
        <w:t xml:space="preserve">מור </w:t>
      </w:r>
      <w:proofErr w:type="spellStart"/>
      <w:r>
        <w:rPr>
          <w:rFonts w:hint="cs"/>
          <w:rtl/>
        </w:rPr>
        <w:t>וקציעה</w:t>
      </w:r>
      <w:proofErr w:type="spellEnd"/>
      <w:r>
        <w:rPr>
          <w:rFonts w:hint="cs"/>
          <w:rtl/>
        </w:rPr>
        <w:t xml:space="preserve"> </w:t>
      </w:r>
      <w:proofErr w:type="spellStart"/>
      <w:r w:rsidR="00557A3B">
        <w:rPr>
          <w:rFonts w:hint="cs"/>
          <w:rtl/>
        </w:rPr>
        <w:t>קכח</w:t>
      </w:r>
      <w:proofErr w:type="spellEnd"/>
    </w:p>
    <w:p w14:paraId="3CB769B7" w14:textId="77777777" w:rsidR="00557A3B" w:rsidRDefault="00557A3B" w:rsidP="00557A3B">
      <w:pPr>
        <w:rPr>
          <w:rtl/>
        </w:rPr>
      </w:pPr>
      <w:r>
        <w:rPr>
          <w:rtl/>
        </w:rPr>
        <w:t xml:space="preserve">שם. ונראה לי שבמקום </w:t>
      </w:r>
      <w:proofErr w:type="spellStart"/>
      <w:r>
        <w:rPr>
          <w:rtl/>
        </w:rPr>
        <w:t>שנוהגין</w:t>
      </w:r>
      <w:proofErr w:type="spellEnd"/>
      <w:r>
        <w:rPr>
          <w:rtl/>
        </w:rPr>
        <w:t xml:space="preserve"> לשלשל הטלית על פניהם אפילו יש כמה </w:t>
      </w:r>
      <w:proofErr w:type="spellStart"/>
      <w:r>
        <w:rPr>
          <w:rtl/>
        </w:rPr>
        <w:t>מומין</w:t>
      </w:r>
      <w:proofErr w:type="spellEnd"/>
      <w:r>
        <w:rPr>
          <w:rtl/>
        </w:rPr>
        <w:t xml:space="preserve"> בפניו וכו' </w:t>
      </w:r>
      <w:proofErr w:type="spellStart"/>
      <w:r>
        <w:rPr>
          <w:rtl/>
        </w:rPr>
        <w:t>ישא</w:t>
      </w:r>
      <w:proofErr w:type="spellEnd"/>
      <w:r>
        <w:rPr>
          <w:rtl/>
        </w:rPr>
        <w:t xml:space="preserve"> את כפיו. עכ"ל. לענ"ד זה צריך עיון. כי לפי הנראה אין זו דרך ישרה שיבור לו האדם למצוא עילה לבטל תקנת חז"ל. ולא על חנם האריכו בדינים הללו, וכי לא היו יודעים מתחבולה זו, והיה להם לבאר תקנה זו של שלשול הטלית שבקל אפשר לעשותו. אלא ודאי ש"מ </w:t>
      </w:r>
      <w:proofErr w:type="spellStart"/>
      <w:r>
        <w:rPr>
          <w:rtl/>
        </w:rPr>
        <w:t>מדלא</w:t>
      </w:r>
      <w:proofErr w:type="spellEnd"/>
      <w:r>
        <w:rPr>
          <w:rtl/>
        </w:rPr>
        <w:t xml:space="preserve"> </w:t>
      </w:r>
      <w:proofErr w:type="spellStart"/>
      <w:r>
        <w:rPr>
          <w:rtl/>
        </w:rPr>
        <w:t>אשתמיט</w:t>
      </w:r>
      <w:proofErr w:type="spellEnd"/>
      <w:r>
        <w:rPr>
          <w:rtl/>
        </w:rPr>
        <w:t xml:space="preserve"> </w:t>
      </w:r>
      <w:proofErr w:type="spellStart"/>
      <w:r>
        <w:rPr>
          <w:rtl/>
        </w:rPr>
        <w:t>תלמודא</w:t>
      </w:r>
      <w:proofErr w:type="spellEnd"/>
      <w:r>
        <w:rPr>
          <w:rtl/>
        </w:rPr>
        <w:t xml:space="preserve"> להזכיר דבר זה, על </w:t>
      </w:r>
      <w:proofErr w:type="spellStart"/>
      <w:r>
        <w:rPr>
          <w:rtl/>
        </w:rPr>
        <w:t>כרחך</w:t>
      </w:r>
      <w:proofErr w:type="spellEnd"/>
      <w:r>
        <w:rPr>
          <w:rtl/>
        </w:rPr>
        <w:t xml:space="preserve"> </w:t>
      </w:r>
      <w:proofErr w:type="spellStart"/>
      <w:r>
        <w:rPr>
          <w:rtl/>
        </w:rPr>
        <w:t>ס"ל</w:t>
      </w:r>
      <w:proofErr w:type="spellEnd"/>
      <w:r>
        <w:rPr>
          <w:rtl/>
        </w:rPr>
        <w:t xml:space="preserve"> </w:t>
      </w:r>
      <w:proofErr w:type="spellStart"/>
      <w:r>
        <w:rPr>
          <w:rtl/>
        </w:rPr>
        <w:t>דאין</w:t>
      </w:r>
      <w:proofErr w:type="spellEnd"/>
      <w:r>
        <w:rPr>
          <w:rtl/>
        </w:rPr>
        <w:t xml:space="preserve"> נכון לכסות </w:t>
      </w:r>
      <w:proofErr w:type="spellStart"/>
      <w:r>
        <w:rPr>
          <w:rtl/>
        </w:rPr>
        <w:t>הידים</w:t>
      </w:r>
      <w:proofErr w:type="spellEnd"/>
      <w:r>
        <w:rPr>
          <w:rtl/>
        </w:rPr>
        <w:t xml:space="preserve"> בטלית ולא הפנים, שאין לנו לבדות דברים חדשים לא שערום רז</w:t>
      </w:r>
      <w:bookmarkStart w:id="0" w:name="_GoBack"/>
      <w:bookmarkEnd w:id="0"/>
      <w:r>
        <w:rPr>
          <w:rtl/>
        </w:rPr>
        <w:t xml:space="preserve">"ל, ואע"פ שנראה לנו נכון לפי הטעם הפשוט, מ"מ לא </w:t>
      </w:r>
      <w:proofErr w:type="spellStart"/>
      <w:r>
        <w:rPr>
          <w:rtl/>
        </w:rPr>
        <w:t>מחשבותם</w:t>
      </w:r>
      <w:proofErr w:type="spellEnd"/>
      <w:r>
        <w:rPr>
          <w:rtl/>
        </w:rPr>
        <w:t xml:space="preserve"> מחשבותינו, שיש להם בכל דבריהם טעם פנימי זולת הנגלה. זכר לדבר, ז' של חג יום חבוט ערבה, לפי דעת הגמרא [סוכה מד, א] הוא </w:t>
      </w:r>
      <w:proofErr w:type="spellStart"/>
      <w:r>
        <w:rPr>
          <w:rtl/>
        </w:rPr>
        <w:t>מסברא</w:t>
      </w:r>
      <w:proofErr w:type="spellEnd"/>
      <w:r>
        <w:rPr>
          <w:rtl/>
        </w:rPr>
        <w:t xml:space="preserve"> גרידא, ויש בו טעם פנימי על פי הסוד, וכיוצא בו מצינו רבים </w:t>
      </w:r>
      <w:proofErr w:type="spellStart"/>
      <w:r>
        <w:rPr>
          <w:rtl/>
        </w:rPr>
        <w:t>בדרז"ל</w:t>
      </w:r>
      <w:proofErr w:type="spellEnd"/>
      <w:r>
        <w:rPr>
          <w:rtl/>
        </w:rPr>
        <w:t>.</w:t>
      </w:r>
    </w:p>
    <w:p w14:paraId="635F542A" w14:textId="77777777" w:rsidR="00557A3B" w:rsidRDefault="00557A3B" w:rsidP="00557A3B">
      <w:pPr>
        <w:rPr>
          <w:rtl/>
        </w:rPr>
      </w:pPr>
      <w:r>
        <w:rPr>
          <w:rtl/>
        </w:rPr>
        <w:t xml:space="preserve">ועוד, אי איתא </w:t>
      </w:r>
      <w:proofErr w:type="spellStart"/>
      <w:r>
        <w:rPr>
          <w:rtl/>
        </w:rPr>
        <w:t>דשפיר</w:t>
      </w:r>
      <w:proofErr w:type="spellEnd"/>
      <w:r>
        <w:rPr>
          <w:rtl/>
        </w:rPr>
        <w:t xml:space="preserve"> דמי, </w:t>
      </w:r>
      <w:proofErr w:type="spellStart"/>
      <w:r>
        <w:rPr>
          <w:rtl/>
        </w:rPr>
        <w:t>הי"ל</w:t>
      </w:r>
      <w:proofErr w:type="spellEnd"/>
      <w:r>
        <w:rPr>
          <w:rtl/>
        </w:rPr>
        <w:t xml:space="preserve"> לתקן דבר זה </w:t>
      </w:r>
      <w:proofErr w:type="spellStart"/>
      <w:r>
        <w:rPr>
          <w:rtl/>
        </w:rPr>
        <w:t>בכהנים</w:t>
      </w:r>
      <w:proofErr w:type="spellEnd"/>
      <w:r>
        <w:rPr>
          <w:rtl/>
        </w:rPr>
        <w:t xml:space="preserve"> הנושאים כפיהם במקדש, שינהגו בשלשול טלית על פניהם וידיהם כדי שלא יבואו העם להסתכל בהם ויסתכנו, </w:t>
      </w:r>
      <w:proofErr w:type="spellStart"/>
      <w:r>
        <w:rPr>
          <w:rtl/>
        </w:rPr>
        <w:t>ומדשתקי</w:t>
      </w:r>
      <w:proofErr w:type="spellEnd"/>
      <w:r>
        <w:rPr>
          <w:rtl/>
        </w:rPr>
        <w:t xml:space="preserve"> לגמרי משלשול זה מסתברא דלא </w:t>
      </w:r>
      <w:proofErr w:type="spellStart"/>
      <w:r>
        <w:rPr>
          <w:rtl/>
        </w:rPr>
        <w:t>הוה</w:t>
      </w:r>
      <w:proofErr w:type="spellEnd"/>
      <w:r>
        <w:rPr>
          <w:rtl/>
        </w:rPr>
        <w:t xml:space="preserve"> ניחא להו ביה. ולכשנשים לב לדבר, נוכל </w:t>
      </w:r>
      <w:proofErr w:type="spellStart"/>
      <w:r>
        <w:rPr>
          <w:rtl/>
        </w:rPr>
        <w:t>ליתן</w:t>
      </w:r>
      <w:proofErr w:type="spellEnd"/>
      <w:r>
        <w:rPr>
          <w:rtl/>
        </w:rPr>
        <w:t xml:space="preserve"> טעם פשוט שלא לכסות </w:t>
      </w:r>
      <w:proofErr w:type="spellStart"/>
      <w:r>
        <w:rPr>
          <w:rtl/>
        </w:rPr>
        <w:t>הידים</w:t>
      </w:r>
      <w:proofErr w:type="spellEnd"/>
      <w:r>
        <w:rPr>
          <w:rtl/>
        </w:rPr>
        <w:t xml:space="preserve"> בשעת </w:t>
      </w:r>
      <w:proofErr w:type="spellStart"/>
      <w:r>
        <w:rPr>
          <w:rtl/>
        </w:rPr>
        <w:t>נ"כ</w:t>
      </w:r>
      <w:proofErr w:type="spellEnd"/>
      <w:r>
        <w:rPr>
          <w:rtl/>
        </w:rPr>
        <w:t xml:space="preserve"> כיון </w:t>
      </w:r>
      <w:proofErr w:type="spellStart"/>
      <w:r>
        <w:rPr>
          <w:rtl/>
        </w:rPr>
        <w:t>דאתקוש</w:t>
      </w:r>
      <w:proofErr w:type="spellEnd"/>
      <w:r>
        <w:rPr>
          <w:rtl/>
        </w:rPr>
        <w:t xml:space="preserve"> לעבודה, וכן נ"ל </w:t>
      </w:r>
      <w:proofErr w:type="spellStart"/>
      <w:r>
        <w:rPr>
          <w:rtl/>
        </w:rPr>
        <w:t>מהך</w:t>
      </w:r>
      <w:proofErr w:type="spellEnd"/>
      <w:r>
        <w:rPr>
          <w:rtl/>
        </w:rPr>
        <w:t xml:space="preserve"> טעמא </w:t>
      </w:r>
      <w:proofErr w:type="spellStart"/>
      <w:r>
        <w:rPr>
          <w:rtl/>
        </w:rPr>
        <w:t>צריכין</w:t>
      </w:r>
      <w:proofErr w:type="spellEnd"/>
      <w:r>
        <w:rPr>
          <w:rtl/>
        </w:rPr>
        <w:t xml:space="preserve"> להיות </w:t>
      </w:r>
      <w:proofErr w:type="spellStart"/>
      <w:r>
        <w:rPr>
          <w:rtl/>
        </w:rPr>
        <w:t>יחפי</w:t>
      </w:r>
      <w:proofErr w:type="spellEnd"/>
      <w:r>
        <w:rPr>
          <w:rtl/>
        </w:rPr>
        <w:t xml:space="preserve"> רגל כנז' כמו כהן משרת </w:t>
      </w:r>
      <w:proofErr w:type="spellStart"/>
      <w:r>
        <w:rPr>
          <w:rtl/>
        </w:rPr>
        <w:t>דמחיל</w:t>
      </w:r>
      <w:proofErr w:type="spellEnd"/>
      <w:r>
        <w:rPr>
          <w:rtl/>
        </w:rPr>
        <w:t xml:space="preserve"> עבודה כי עביד בחציצה, </w:t>
      </w:r>
      <w:proofErr w:type="spellStart"/>
      <w:r>
        <w:rPr>
          <w:rtl/>
        </w:rPr>
        <w:t>וכדאקשינן</w:t>
      </w:r>
      <w:proofErr w:type="spellEnd"/>
      <w:r>
        <w:rPr>
          <w:rtl/>
        </w:rPr>
        <w:t xml:space="preserve"> </w:t>
      </w:r>
      <w:proofErr w:type="spellStart"/>
      <w:r>
        <w:rPr>
          <w:rtl/>
        </w:rPr>
        <w:t>לענין</w:t>
      </w:r>
      <w:proofErr w:type="spellEnd"/>
      <w:r>
        <w:rPr>
          <w:rtl/>
        </w:rPr>
        <w:t xml:space="preserve"> </w:t>
      </w:r>
      <w:proofErr w:type="spellStart"/>
      <w:r>
        <w:rPr>
          <w:rtl/>
        </w:rPr>
        <w:t>דבעו</w:t>
      </w:r>
      <w:proofErr w:type="spellEnd"/>
      <w:r>
        <w:rPr>
          <w:rtl/>
        </w:rPr>
        <w:t xml:space="preserve"> עמידה, ה"ה לכל מילי </w:t>
      </w:r>
      <w:proofErr w:type="spellStart"/>
      <w:r>
        <w:rPr>
          <w:rtl/>
        </w:rPr>
        <w:t>דהנהגת</w:t>
      </w:r>
      <w:proofErr w:type="spellEnd"/>
      <w:r>
        <w:rPr>
          <w:rtl/>
        </w:rPr>
        <w:t xml:space="preserve"> עשייתה, </w:t>
      </w:r>
      <w:proofErr w:type="spellStart"/>
      <w:r>
        <w:rPr>
          <w:rtl/>
        </w:rPr>
        <w:t>כדלעיל</w:t>
      </w:r>
      <w:proofErr w:type="spellEnd"/>
      <w:r>
        <w:rPr>
          <w:rtl/>
        </w:rPr>
        <w:t>.</w:t>
      </w:r>
    </w:p>
    <w:p w14:paraId="5B2CC26C" w14:textId="77777777" w:rsidR="00557A3B" w:rsidRDefault="00557A3B" w:rsidP="00557A3B">
      <w:pPr>
        <w:rPr>
          <w:rtl/>
        </w:rPr>
      </w:pPr>
      <w:r>
        <w:rPr>
          <w:rtl/>
        </w:rPr>
        <w:t xml:space="preserve">וא"ת א"כ מה </w:t>
      </w:r>
      <w:proofErr w:type="spellStart"/>
      <w:r>
        <w:rPr>
          <w:rtl/>
        </w:rPr>
        <w:t>היתה</w:t>
      </w:r>
      <w:proofErr w:type="spellEnd"/>
      <w:r>
        <w:rPr>
          <w:rtl/>
        </w:rPr>
        <w:t xml:space="preserve"> צריכה תקנת </w:t>
      </w:r>
      <w:proofErr w:type="spellStart"/>
      <w:r>
        <w:rPr>
          <w:rtl/>
        </w:rPr>
        <w:t>ריב"ז</w:t>
      </w:r>
      <w:proofErr w:type="spellEnd"/>
      <w:r>
        <w:rPr>
          <w:rtl/>
        </w:rPr>
        <w:t xml:space="preserve"> שלא יעלו לדוכן בסנדל, </w:t>
      </w:r>
      <w:proofErr w:type="spellStart"/>
      <w:r>
        <w:rPr>
          <w:rtl/>
        </w:rPr>
        <w:t>תיפוק</w:t>
      </w:r>
      <w:proofErr w:type="spellEnd"/>
      <w:r>
        <w:rPr>
          <w:rtl/>
        </w:rPr>
        <w:t xml:space="preserve"> ליה משום חציצה </w:t>
      </w:r>
      <w:proofErr w:type="spellStart"/>
      <w:r>
        <w:rPr>
          <w:rtl/>
        </w:rPr>
        <w:t>דבלא"ה</w:t>
      </w:r>
      <w:proofErr w:type="spellEnd"/>
      <w:r>
        <w:rPr>
          <w:rtl/>
        </w:rPr>
        <w:t xml:space="preserve"> </w:t>
      </w:r>
      <w:proofErr w:type="spellStart"/>
      <w:r>
        <w:rPr>
          <w:rtl/>
        </w:rPr>
        <w:t>אתסרו</w:t>
      </w:r>
      <w:proofErr w:type="spellEnd"/>
      <w:r>
        <w:rPr>
          <w:rtl/>
        </w:rPr>
        <w:t xml:space="preserve"> ביה. </w:t>
      </w:r>
      <w:proofErr w:type="spellStart"/>
      <w:r>
        <w:rPr>
          <w:rtl/>
        </w:rPr>
        <w:t>י"ל</w:t>
      </w:r>
      <w:proofErr w:type="spellEnd"/>
      <w:r>
        <w:rPr>
          <w:rtl/>
        </w:rPr>
        <w:t xml:space="preserve"> </w:t>
      </w:r>
      <w:proofErr w:type="spellStart"/>
      <w:r>
        <w:rPr>
          <w:rtl/>
        </w:rPr>
        <w:t>דהו"א</w:t>
      </w:r>
      <w:proofErr w:type="spellEnd"/>
      <w:r>
        <w:rPr>
          <w:rtl/>
        </w:rPr>
        <w:t xml:space="preserve"> בסנדל שאין לו עקב </w:t>
      </w:r>
      <w:proofErr w:type="spellStart"/>
      <w:r>
        <w:rPr>
          <w:rtl/>
        </w:rPr>
        <w:t>לשתרו</w:t>
      </w:r>
      <w:proofErr w:type="spellEnd"/>
      <w:r>
        <w:rPr>
          <w:rtl/>
        </w:rPr>
        <w:t xml:space="preserve">. </w:t>
      </w:r>
      <w:proofErr w:type="spellStart"/>
      <w:r>
        <w:rPr>
          <w:rtl/>
        </w:rPr>
        <w:t>וק"ל</w:t>
      </w:r>
      <w:proofErr w:type="spellEnd"/>
      <w:r>
        <w:rPr>
          <w:rtl/>
        </w:rPr>
        <w:t>.</w:t>
      </w:r>
    </w:p>
    <w:p w14:paraId="5F2B8A0A" w14:textId="77777777" w:rsidR="00557A3B" w:rsidRDefault="00557A3B" w:rsidP="00557A3B">
      <w:pPr>
        <w:rPr>
          <w:rtl/>
        </w:rPr>
      </w:pPr>
      <w:proofErr w:type="spellStart"/>
      <w:r>
        <w:rPr>
          <w:rtl/>
        </w:rPr>
        <w:t>ודתנן</w:t>
      </w:r>
      <w:proofErr w:type="spellEnd"/>
      <w:r>
        <w:rPr>
          <w:rtl/>
        </w:rPr>
        <w:t xml:space="preserve"> [מגילה כד, א] פוחח אינו נושא כפיו, היינו שבגדיו קרועים ובשר גופו נראה, שצריך להיות מכוסה, אבל העקב שמא צריך שלא יפסיק דבר בינו לבין הקרקע.</w:t>
      </w:r>
    </w:p>
    <w:p w14:paraId="245B958D" w14:textId="77777777" w:rsidR="00557A3B" w:rsidRDefault="00557A3B" w:rsidP="00557A3B">
      <w:pPr>
        <w:rPr>
          <w:rtl/>
        </w:rPr>
      </w:pPr>
      <w:r>
        <w:rPr>
          <w:rtl/>
        </w:rPr>
        <w:t xml:space="preserve">ועוד, שמא יש </w:t>
      </w:r>
      <w:proofErr w:type="spellStart"/>
      <w:r>
        <w:rPr>
          <w:rtl/>
        </w:rPr>
        <w:t>קפידא</w:t>
      </w:r>
      <w:proofErr w:type="spellEnd"/>
      <w:r>
        <w:rPr>
          <w:rtl/>
        </w:rPr>
        <w:t xml:space="preserve"> </w:t>
      </w:r>
      <w:proofErr w:type="spellStart"/>
      <w:r>
        <w:rPr>
          <w:rtl/>
        </w:rPr>
        <w:t>שיהו</w:t>
      </w:r>
      <w:proofErr w:type="spellEnd"/>
      <w:r>
        <w:rPr>
          <w:rtl/>
        </w:rPr>
        <w:t xml:space="preserve"> </w:t>
      </w:r>
      <w:proofErr w:type="spellStart"/>
      <w:r>
        <w:rPr>
          <w:rtl/>
        </w:rPr>
        <w:t>הידים</w:t>
      </w:r>
      <w:proofErr w:type="spellEnd"/>
      <w:r>
        <w:rPr>
          <w:rtl/>
        </w:rPr>
        <w:t xml:space="preserve"> מגולות כשהן נשואות, וגם הפנים. בנוהג שבעולם נראה שאין כן דרך המברך בעין יפה ללוט פניו (ודוגמא לדבר, כוס של ברכה, שאחד מעשרה הדברים שנאמרו בו [ברכות נא, א] הוא שנותן עיניו בו. דוק) ואם טוב עין הוא יברך הא ודאי יש לראות העין, מבוא בברכה, כמו שיש </w:t>
      </w:r>
      <w:proofErr w:type="spellStart"/>
      <w:r>
        <w:rPr>
          <w:rtl/>
        </w:rPr>
        <w:t>להזהר</w:t>
      </w:r>
      <w:proofErr w:type="spellEnd"/>
      <w:r>
        <w:rPr>
          <w:rtl/>
        </w:rPr>
        <w:t xml:space="preserve"> בהפך, מרע עין, (השונא אינו יכול להסתכל בפני שונאו, </w:t>
      </w:r>
      <w:proofErr w:type="spellStart"/>
      <w:r>
        <w:rPr>
          <w:rtl/>
        </w:rPr>
        <w:t>כענין</w:t>
      </w:r>
      <w:proofErr w:type="spellEnd"/>
      <w:r>
        <w:rPr>
          <w:rtl/>
        </w:rPr>
        <w:t xml:space="preserve"> שכתוב [מלכים ב' ג, יד] אם אביט אליך ואם אראך, וכן רבים). והרי זה למד מענינו שלשון הברכה הוא </w:t>
      </w:r>
      <w:proofErr w:type="spellStart"/>
      <w:r>
        <w:rPr>
          <w:rtl/>
        </w:rPr>
        <w:t>ישא</w:t>
      </w:r>
      <w:proofErr w:type="spellEnd"/>
      <w:r>
        <w:rPr>
          <w:rtl/>
        </w:rPr>
        <w:t xml:space="preserve"> ה' פניו אליך, </w:t>
      </w:r>
      <w:proofErr w:type="spellStart"/>
      <w:r>
        <w:rPr>
          <w:rtl/>
        </w:rPr>
        <w:t>יאר</w:t>
      </w:r>
      <w:proofErr w:type="spellEnd"/>
      <w:r>
        <w:rPr>
          <w:rtl/>
        </w:rPr>
        <w:t xml:space="preserve"> ה' פניו אליך, הרי גילוי פנים אמור בברכה (והשכינה היא שורה על ידי </w:t>
      </w:r>
      <w:proofErr w:type="spellStart"/>
      <w:r>
        <w:rPr>
          <w:rtl/>
        </w:rPr>
        <w:t>כהנים</w:t>
      </w:r>
      <w:proofErr w:type="spellEnd"/>
      <w:r>
        <w:rPr>
          <w:rtl/>
        </w:rPr>
        <w:t xml:space="preserve">) ובקללה הוא אומר [דברים לב, כ] אסתירה פני מהם. וכמו כן אין נאה למתברך להסתיר פניו מן המברך ולכסותו בעת קבלת ברכתו, </w:t>
      </w:r>
      <w:proofErr w:type="spellStart"/>
      <w:r>
        <w:rPr>
          <w:rtl/>
        </w:rPr>
        <w:t>כדאמרינן</w:t>
      </w:r>
      <w:proofErr w:type="spellEnd"/>
      <w:r>
        <w:rPr>
          <w:rtl/>
        </w:rPr>
        <w:t xml:space="preserve"> [סוטה מ, א] כלום יש עבד </w:t>
      </w:r>
      <w:proofErr w:type="spellStart"/>
      <w:r>
        <w:rPr>
          <w:rtl/>
        </w:rPr>
        <w:t>שמברכין</w:t>
      </w:r>
      <w:proofErr w:type="spellEnd"/>
      <w:r>
        <w:rPr>
          <w:rtl/>
        </w:rPr>
        <w:t xml:space="preserve"> אותו ואינו מסביר פנים. ואע"פ שיש לו לעמוד באימה וביראה ולא יגביה עיניו להסתכל במברך </w:t>
      </w:r>
      <w:proofErr w:type="spellStart"/>
      <w:r>
        <w:rPr>
          <w:rtl/>
        </w:rPr>
        <w:t>דהויא</w:t>
      </w:r>
      <w:proofErr w:type="spellEnd"/>
      <w:r>
        <w:rPr>
          <w:rtl/>
        </w:rPr>
        <w:t xml:space="preserve"> </w:t>
      </w:r>
      <w:proofErr w:type="spellStart"/>
      <w:r>
        <w:rPr>
          <w:rtl/>
        </w:rPr>
        <w:t>חציפותא</w:t>
      </w:r>
      <w:proofErr w:type="spellEnd"/>
      <w:r>
        <w:rPr>
          <w:rtl/>
        </w:rPr>
        <w:t xml:space="preserve">, מכל מקום צריך לקבלן בסבר פנים יפות, ובמה יודעו פנים מאירות או זועפות אם הם עטויות ועטופות כמנהג בני ארצנו. ונ"ל דלא שפיר עבדי בהא, אף שאיני כדאי להרהר אחר דעת </w:t>
      </w:r>
      <w:proofErr w:type="spellStart"/>
      <w:r>
        <w:rPr>
          <w:rtl/>
        </w:rPr>
        <w:t>הרב"י</w:t>
      </w:r>
      <w:proofErr w:type="spellEnd"/>
      <w:r>
        <w:rPr>
          <w:rtl/>
        </w:rPr>
        <w:t xml:space="preserve"> ז"ל.</w:t>
      </w:r>
    </w:p>
    <w:p w14:paraId="6884F59F" w14:textId="77777777" w:rsidR="00557A3B" w:rsidRDefault="00557A3B" w:rsidP="00557A3B">
      <w:pPr>
        <w:rPr>
          <w:rtl/>
        </w:rPr>
      </w:pPr>
      <w:r>
        <w:rPr>
          <w:rtl/>
        </w:rPr>
        <w:t xml:space="preserve">ושוב זכיתי ללמוד ג"כ מדברי הזוהר פ' נשא </w:t>
      </w:r>
      <w:proofErr w:type="spellStart"/>
      <w:r>
        <w:rPr>
          <w:rtl/>
        </w:rPr>
        <w:t>בפ</w:t>
      </w:r>
      <w:proofErr w:type="spellEnd"/>
      <w:r>
        <w:rPr>
          <w:rtl/>
        </w:rPr>
        <w:t xml:space="preserve">' ברכת </w:t>
      </w:r>
      <w:proofErr w:type="spellStart"/>
      <w:r>
        <w:rPr>
          <w:rtl/>
        </w:rPr>
        <w:t>כהנים</w:t>
      </w:r>
      <w:proofErr w:type="spellEnd"/>
      <w:r>
        <w:rPr>
          <w:rtl/>
        </w:rPr>
        <w:t xml:space="preserve"> שכיוונתי לאמת. ומשמע לי ממנו שאפילו </w:t>
      </w:r>
      <w:proofErr w:type="spellStart"/>
      <w:r>
        <w:rPr>
          <w:rtl/>
        </w:rPr>
        <w:t>העינים</w:t>
      </w:r>
      <w:proofErr w:type="spellEnd"/>
      <w:r>
        <w:rPr>
          <w:rtl/>
        </w:rPr>
        <w:t xml:space="preserve"> של </w:t>
      </w:r>
      <w:proofErr w:type="spellStart"/>
      <w:r>
        <w:rPr>
          <w:rtl/>
        </w:rPr>
        <w:t>הכהנים</w:t>
      </w:r>
      <w:proofErr w:type="spellEnd"/>
      <w:r>
        <w:rPr>
          <w:rtl/>
        </w:rPr>
        <w:t xml:space="preserve"> לא יהיו עצומות, אדרבה צ"ל מביטים במתברך בעין יפה. ע"ש סוד גדול על בלעם שעל שהיה בעל עין רע, לפיכך בירך שתום העין ותחשב לו קללה, </w:t>
      </w:r>
      <w:proofErr w:type="spellStart"/>
      <w:r>
        <w:rPr>
          <w:rtl/>
        </w:rPr>
        <w:t>משא"כ</w:t>
      </w:r>
      <w:proofErr w:type="spellEnd"/>
      <w:r>
        <w:rPr>
          <w:rtl/>
        </w:rPr>
        <w:t xml:space="preserve"> טוב עין הוא יברך </w:t>
      </w:r>
      <w:proofErr w:type="spellStart"/>
      <w:r>
        <w:rPr>
          <w:rtl/>
        </w:rPr>
        <w:t>בעינים</w:t>
      </w:r>
      <w:proofErr w:type="spellEnd"/>
      <w:r>
        <w:rPr>
          <w:rtl/>
        </w:rPr>
        <w:t xml:space="preserve"> פקוחות. עוד מצאתי און לי שם </w:t>
      </w:r>
      <w:proofErr w:type="spellStart"/>
      <w:r>
        <w:rPr>
          <w:rtl/>
        </w:rPr>
        <w:t>באידרא</w:t>
      </w:r>
      <w:proofErr w:type="spellEnd"/>
      <w:r>
        <w:rPr>
          <w:rtl/>
        </w:rPr>
        <w:t xml:space="preserve"> רבא (</w:t>
      </w:r>
      <w:proofErr w:type="spellStart"/>
      <w:r>
        <w:rPr>
          <w:rtl/>
        </w:rPr>
        <w:t>קכט</w:t>
      </w:r>
      <w:proofErr w:type="spellEnd"/>
      <w:r>
        <w:rPr>
          <w:rtl/>
        </w:rPr>
        <w:t xml:space="preserve"> ב) ז"ל ותנא כל מה </w:t>
      </w:r>
      <w:proofErr w:type="spellStart"/>
      <w:r>
        <w:rPr>
          <w:rtl/>
        </w:rPr>
        <w:t>דאתי</w:t>
      </w:r>
      <w:proofErr w:type="spellEnd"/>
      <w:r>
        <w:rPr>
          <w:rtl/>
        </w:rPr>
        <w:t xml:space="preserve"> ברחמי לית </w:t>
      </w:r>
      <w:proofErr w:type="spellStart"/>
      <w:r>
        <w:rPr>
          <w:rtl/>
        </w:rPr>
        <w:t>כסותא</w:t>
      </w:r>
      <w:proofErr w:type="spellEnd"/>
      <w:r>
        <w:rPr>
          <w:rtl/>
        </w:rPr>
        <w:t xml:space="preserve"> על עינא. הרי הדבר מפורש כמו שאמרנו. אלא שיד המנהג בזה חזקה. ומי שיכול לבטלו בלי מריבה, תחשב לו לצדקה.  </w:t>
      </w:r>
    </w:p>
    <w:p w14:paraId="63E8AAAB" w14:textId="77777777" w:rsidR="00557A3B" w:rsidRPr="00557A3B" w:rsidRDefault="00557A3B" w:rsidP="00557A3B">
      <w:pPr>
        <w:rPr>
          <w:rFonts w:hint="cs"/>
          <w:rtl/>
        </w:rPr>
      </w:pPr>
    </w:p>
    <w:p w14:paraId="234F39F5" w14:textId="077326D3" w:rsidR="005F7A82" w:rsidRDefault="005F7A82" w:rsidP="005F7A82">
      <w:pPr>
        <w:pStyle w:val="Heading1"/>
        <w:rPr>
          <w:rtl/>
        </w:rPr>
      </w:pPr>
      <w:r>
        <w:rPr>
          <w:rFonts w:hint="cs"/>
          <w:rtl/>
        </w:rPr>
        <w:lastRenderedPageBreak/>
        <w:t>ירושה ומורשה</w:t>
      </w:r>
    </w:p>
    <w:p w14:paraId="67A52AEA" w14:textId="25E449CB" w:rsidR="005F7A82" w:rsidRPr="005F7A82" w:rsidRDefault="005F7A82" w:rsidP="005F7A82">
      <w:pPr>
        <w:pStyle w:val="Heading2"/>
      </w:pPr>
      <w:r>
        <w:rPr>
          <w:rFonts w:hint="cs"/>
          <w:rtl/>
        </w:rPr>
        <w:t>נפש הרב עמ' ז</w:t>
      </w:r>
    </w:p>
    <w:p w14:paraId="39B07088" w14:textId="138DF8B4" w:rsidR="0038147F" w:rsidRPr="00E2160D" w:rsidRDefault="0038147F" w:rsidP="0038147F">
      <w:pPr>
        <w:pStyle w:val="Heading1"/>
      </w:pPr>
      <w:r>
        <w:rPr>
          <w:rFonts w:hint="cs"/>
          <w:rtl/>
        </w:rPr>
        <w:t xml:space="preserve">מילה </w:t>
      </w:r>
      <w:r>
        <w:rPr>
          <w:rtl/>
        </w:rPr>
        <w:t>–</w:t>
      </w:r>
      <w:r>
        <w:rPr>
          <w:rFonts w:hint="cs"/>
          <w:rtl/>
        </w:rPr>
        <w:t xml:space="preserve"> סנדקאות </w:t>
      </w:r>
      <w:r>
        <w:rPr>
          <w:rtl/>
        </w:rPr>
        <w:t>–</w:t>
      </w:r>
      <w:r>
        <w:rPr>
          <w:rFonts w:hint="cs"/>
          <w:rtl/>
        </w:rPr>
        <w:t xml:space="preserve"> סגולה לעשירות</w:t>
      </w:r>
    </w:p>
    <w:p w14:paraId="40D9E64D" w14:textId="77777777" w:rsidR="0038147F" w:rsidRDefault="0038147F" w:rsidP="0038147F">
      <w:pPr>
        <w:pStyle w:val="Heading2"/>
        <w:rPr>
          <w:rtl/>
        </w:rPr>
      </w:pPr>
      <w:r>
        <w:rPr>
          <w:rFonts w:hint="cs"/>
          <w:rtl/>
        </w:rPr>
        <w:t xml:space="preserve">שלחן ערוך יורה דעה </w:t>
      </w:r>
      <w:proofErr w:type="spellStart"/>
      <w:r>
        <w:rPr>
          <w:rFonts w:hint="cs"/>
          <w:rtl/>
        </w:rPr>
        <w:t>רסה:יא</w:t>
      </w:r>
      <w:proofErr w:type="spellEnd"/>
    </w:p>
    <w:p w14:paraId="0264EA19" w14:textId="77777777" w:rsidR="0038147F" w:rsidRPr="00D7393F" w:rsidRDefault="0038147F" w:rsidP="0038147F">
      <w:pPr>
        <w:rPr>
          <w:sz w:val="18"/>
          <w:szCs w:val="18"/>
          <w:rtl/>
        </w:rPr>
      </w:pPr>
      <w:proofErr w:type="spellStart"/>
      <w:r w:rsidRPr="002402C7">
        <w:rPr>
          <w:rtl/>
        </w:rPr>
        <w:t>נוהגין</w:t>
      </w:r>
      <w:proofErr w:type="spellEnd"/>
      <w:r w:rsidRPr="002402C7">
        <w:rPr>
          <w:rtl/>
        </w:rPr>
        <w:t xml:space="preserve"> לעשות </w:t>
      </w:r>
      <w:proofErr w:type="spellStart"/>
      <w:r w:rsidRPr="002402C7">
        <w:rPr>
          <w:rtl/>
        </w:rPr>
        <w:t>כסא</w:t>
      </w:r>
      <w:proofErr w:type="spellEnd"/>
      <w:r w:rsidRPr="002402C7">
        <w:rPr>
          <w:rtl/>
        </w:rPr>
        <w:t xml:space="preserve"> לאליהו, </w:t>
      </w:r>
      <w:r>
        <w:rPr>
          <w:rtl/>
        </w:rPr>
        <w:t xml:space="preserve">שנקרא מלאך הברית, וכשמניחו </w:t>
      </w:r>
      <w:r w:rsidRPr="002402C7">
        <w:rPr>
          <w:rtl/>
        </w:rPr>
        <w:t>יא</w:t>
      </w:r>
      <w:r>
        <w:rPr>
          <w:rtl/>
        </w:rPr>
        <w:t xml:space="preserve">מר בפיו שהוא </w:t>
      </w:r>
      <w:proofErr w:type="spellStart"/>
      <w:r>
        <w:rPr>
          <w:rtl/>
        </w:rPr>
        <w:t>כסא</w:t>
      </w:r>
      <w:proofErr w:type="spellEnd"/>
      <w:r>
        <w:rPr>
          <w:rtl/>
        </w:rPr>
        <w:t xml:space="preserve"> אליהו. </w:t>
      </w:r>
      <w:r w:rsidRPr="002402C7">
        <w:rPr>
          <w:sz w:val="18"/>
          <w:szCs w:val="18"/>
          <w:rtl/>
        </w:rPr>
        <w:t xml:space="preserve">הגה: </w:t>
      </w:r>
      <w:proofErr w:type="spellStart"/>
      <w:r w:rsidRPr="002402C7">
        <w:rPr>
          <w:sz w:val="18"/>
          <w:szCs w:val="18"/>
          <w:rtl/>
        </w:rPr>
        <w:t>ונוהגין</w:t>
      </w:r>
      <w:proofErr w:type="spellEnd"/>
      <w:r w:rsidRPr="002402C7">
        <w:rPr>
          <w:sz w:val="18"/>
          <w:szCs w:val="18"/>
          <w:rtl/>
        </w:rPr>
        <w:t xml:space="preserve"> להדר אחר מצוה זו, להיות סנדק לתפוס התינוק למוהלו (הגהות </w:t>
      </w:r>
      <w:proofErr w:type="spellStart"/>
      <w:r w:rsidRPr="002402C7">
        <w:rPr>
          <w:sz w:val="18"/>
          <w:szCs w:val="18"/>
          <w:rtl/>
        </w:rPr>
        <w:t>מיימוני</w:t>
      </w:r>
      <w:proofErr w:type="spellEnd"/>
      <w:r w:rsidRPr="002402C7">
        <w:rPr>
          <w:sz w:val="18"/>
          <w:szCs w:val="18"/>
          <w:rtl/>
        </w:rPr>
        <w:t xml:space="preserve"> פרק ג' </w:t>
      </w:r>
      <w:proofErr w:type="spellStart"/>
      <w:r w:rsidRPr="002402C7">
        <w:rPr>
          <w:sz w:val="18"/>
          <w:szCs w:val="18"/>
          <w:rtl/>
        </w:rPr>
        <w:t>דמילה</w:t>
      </w:r>
      <w:proofErr w:type="spellEnd"/>
      <w:r w:rsidRPr="002402C7">
        <w:rPr>
          <w:sz w:val="18"/>
          <w:szCs w:val="18"/>
          <w:rtl/>
        </w:rPr>
        <w:t xml:space="preserve">). ויפה </w:t>
      </w:r>
      <w:proofErr w:type="spellStart"/>
      <w:r w:rsidRPr="002402C7">
        <w:rPr>
          <w:sz w:val="18"/>
          <w:szCs w:val="18"/>
          <w:rtl/>
        </w:rPr>
        <w:t>כח</w:t>
      </w:r>
      <w:proofErr w:type="spellEnd"/>
      <w:r w:rsidRPr="002402C7">
        <w:rPr>
          <w:sz w:val="18"/>
          <w:szCs w:val="18"/>
          <w:rtl/>
        </w:rPr>
        <w:t xml:space="preserve"> הסנדק </w:t>
      </w:r>
      <w:proofErr w:type="spellStart"/>
      <w:r w:rsidRPr="002402C7">
        <w:rPr>
          <w:sz w:val="18"/>
          <w:szCs w:val="18"/>
          <w:rtl/>
        </w:rPr>
        <w:t>מכח</w:t>
      </w:r>
      <w:proofErr w:type="spellEnd"/>
      <w:r w:rsidRPr="002402C7">
        <w:rPr>
          <w:sz w:val="18"/>
          <w:szCs w:val="18"/>
          <w:rtl/>
        </w:rPr>
        <w:t xml:space="preserve"> המוהל להקדימו לקריאת התורה, </w:t>
      </w:r>
      <w:proofErr w:type="spellStart"/>
      <w:r w:rsidRPr="002402C7">
        <w:rPr>
          <w:sz w:val="18"/>
          <w:szCs w:val="18"/>
          <w:rtl/>
        </w:rPr>
        <w:t>דכל</w:t>
      </w:r>
      <w:proofErr w:type="spellEnd"/>
      <w:r w:rsidRPr="002402C7">
        <w:rPr>
          <w:sz w:val="18"/>
          <w:szCs w:val="18"/>
          <w:rtl/>
        </w:rPr>
        <w:t xml:space="preserve"> סנדק הוי כמקטיר קטורת (</w:t>
      </w:r>
      <w:proofErr w:type="spellStart"/>
      <w:r w:rsidRPr="002402C7">
        <w:rPr>
          <w:sz w:val="18"/>
          <w:szCs w:val="18"/>
          <w:rtl/>
        </w:rPr>
        <w:t>מהרי"ל</w:t>
      </w:r>
      <w:proofErr w:type="spellEnd"/>
      <w:r w:rsidRPr="002402C7">
        <w:rPr>
          <w:sz w:val="18"/>
          <w:szCs w:val="18"/>
          <w:rtl/>
        </w:rPr>
        <w:t xml:space="preserve"> בשם ר"פ =רבינו פרץ=), ולכן </w:t>
      </w:r>
      <w:proofErr w:type="spellStart"/>
      <w:r w:rsidRPr="002402C7">
        <w:rPr>
          <w:sz w:val="18"/>
          <w:szCs w:val="18"/>
          <w:rtl/>
        </w:rPr>
        <w:t>נוהגין</w:t>
      </w:r>
      <w:proofErr w:type="spellEnd"/>
      <w:r w:rsidRPr="002402C7">
        <w:rPr>
          <w:sz w:val="18"/>
          <w:szCs w:val="18"/>
          <w:rtl/>
        </w:rPr>
        <w:t xml:space="preserve"> </w:t>
      </w:r>
      <w:proofErr w:type="spellStart"/>
      <w:r w:rsidRPr="002402C7">
        <w:rPr>
          <w:sz w:val="18"/>
          <w:szCs w:val="18"/>
          <w:rtl/>
        </w:rPr>
        <w:t>כב</w:t>
      </w:r>
      <w:proofErr w:type="spellEnd"/>
      <w:r w:rsidRPr="002402C7">
        <w:rPr>
          <w:sz w:val="18"/>
          <w:szCs w:val="18"/>
          <w:rtl/>
        </w:rPr>
        <w:t xml:space="preserve"> שלא </w:t>
      </w:r>
      <w:proofErr w:type="spellStart"/>
      <w:r w:rsidRPr="002402C7">
        <w:rPr>
          <w:sz w:val="18"/>
          <w:szCs w:val="18"/>
          <w:rtl/>
        </w:rPr>
        <w:t>ליתן</w:t>
      </w:r>
      <w:proofErr w:type="spellEnd"/>
      <w:r w:rsidRPr="002402C7">
        <w:rPr>
          <w:sz w:val="18"/>
          <w:szCs w:val="18"/>
          <w:rtl/>
        </w:rPr>
        <w:t xml:space="preserve"> שני ילדים לבעל ברית אחד, </w:t>
      </w:r>
      <w:proofErr w:type="spellStart"/>
      <w:r w:rsidRPr="002402C7">
        <w:rPr>
          <w:sz w:val="18"/>
          <w:szCs w:val="18"/>
          <w:rtl/>
        </w:rPr>
        <w:t>כדאמרינן</w:t>
      </w:r>
      <w:proofErr w:type="spellEnd"/>
      <w:r w:rsidRPr="002402C7">
        <w:rPr>
          <w:sz w:val="18"/>
          <w:szCs w:val="18"/>
          <w:rtl/>
        </w:rPr>
        <w:t xml:space="preserve"> גבי קטורת: חדשים לקטורת (שם בשם ר"פ). ואין לאשה להיות סנדק לתינוק במקום שאפשר באיש, משום דהוי כפריצות. ומ"מ היא עוזרת לבעלה ומביאה התינוק עד בית הכנסת, ואז לוקח האיש ממנה ונעשה סנדק (שם בשם </w:t>
      </w:r>
      <w:proofErr w:type="spellStart"/>
      <w:r w:rsidRPr="002402C7">
        <w:rPr>
          <w:sz w:val="18"/>
          <w:szCs w:val="18"/>
          <w:rtl/>
        </w:rPr>
        <w:t>מוהר"ם</w:t>
      </w:r>
      <w:proofErr w:type="spellEnd"/>
      <w:r w:rsidRPr="002402C7">
        <w:rPr>
          <w:sz w:val="18"/>
          <w:szCs w:val="18"/>
          <w:rtl/>
        </w:rPr>
        <w:t xml:space="preserve">). אבל האיש יכול לעשות </w:t>
      </w:r>
      <w:proofErr w:type="spellStart"/>
      <w:r w:rsidRPr="002402C7">
        <w:rPr>
          <w:sz w:val="18"/>
          <w:szCs w:val="18"/>
          <w:rtl/>
        </w:rPr>
        <w:t>הכל</w:t>
      </w:r>
      <w:proofErr w:type="spellEnd"/>
      <w:r w:rsidRPr="002402C7">
        <w:rPr>
          <w:sz w:val="18"/>
          <w:szCs w:val="18"/>
          <w:rtl/>
        </w:rPr>
        <w:t xml:space="preserve"> בלא </w:t>
      </w:r>
      <w:proofErr w:type="spellStart"/>
      <w:r w:rsidRPr="002402C7">
        <w:rPr>
          <w:sz w:val="18"/>
          <w:szCs w:val="18"/>
          <w:rtl/>
        </w:rPr>
        <w:t>אשה</w:t>
      </w:r>
      <w:proofErr w:type="spellEnd"/>
      <w:r w:rsidRPr="002402C7">
        <w:rPr>
          <w:sz w:val="18"/>
          <w:szCs w:val="18"/>
          <w:rtl/>
        </w:rPr>
        <w:t xml:space="preserve"> (כן עשה </w:t>
      </w:r>
      <w:proofErr w:type="spellStart"/>
      <w:r w:rsidRPr="002402C7">
        <w:rPr>
          <w:sz w:val="18"/>
          <w:szCs w:val="18"/>
          <w:rtl/>
        </w:rPr>
        <w:t>מהרי"ל</w:t>
      </w:r>
      <w:proofErr w:type="spellEnd"/>
      <w:r w:rsidRPr="002402C7">
        <w:rPr>
          <w:sz w:val="18"/>
          <w:szCs w:val="18"/>
          <w:rtl/>
        </w:rPr>
        <w:t>). נהגו המוהלים להתפלל ביום המילה, שנאמר: רוממות אל בגרונם וחרב פיפיות בידם (תהילים קמט, ו) (</w:t>
      </w:r>
      <w:proofErr w:type="spellStart"/>
      <w:r w:rsidRPr="002402C7">
        <w:rPr>
          <w:sz w:val="18"/>
          <w:szCs w:val="18"/>
          <w:rtl/>
        </w:rPr>
        <w:t>ד"ע</w:t>
      </w:r>
      <w:proofErr w:type="spellEnd"/>
      <w:r w:rsidRPr="002402C7">
        <w:rPr>
          <w:sz w:val="18"/>
          <w:szCs w:val="18"/>
          <w:rtl/>
        </w:rPr>
        <w:t>).</w:t>
      </w:r>
    </w:p>
    <w:p w14:paraId="7475778D" w14:textId="77777777" w:rsidR="0038147F" w:rsidRDefault="0038147F" w:rsidP="0038147F">
      <w:pPr>
        <w:pStyle w:val="Heading2"/>
        <w:rPr>
          <w:rtl/>
        </w:rPr>
      </w:pPr>
      <w:r>
        <w:rPr>
          <w:rFonts w:hint="cs"/>
          <w:rtl/>
        </w:rPr>
        <w:t xml:space="preserve">ביאור </w:t>
      </w:r>
      <w:proofErr w:type="spellStart"/>
      <w:r>
        <w:rPr>
          <w:rFonts w:hint="cs"/>
          <w:rtl/>
        </w:rPr>
        <w:t>הגר"א</w:t>
      </w:r>
      <w:proofErr w:type="spellEnd"/>
      <w:r>
        <w:rPr>
          <w:rFonts w:hint="cs"/>
          <w:rtl/>
        </w:rPr>
        <w:t xml:space="preserve"> יורה דעה </w:t>
      </w:r>
      <w:proofErr w:type="spellStart"/>
      <w:r>
        <w:rPr>
          <w:rFonts w:hint="cs"/>
          <w:rtl/>
        </w:rPr>
        <w:t>רסה:מו</w:t>
      </w:r>
      <w:proofErr w:type="spellEnd"/>
    </w:p>
    <w:p w14:paraId="59785E73" w14:textId="77777777" w:rsidR="0038147F" w:rsidRDefault="0038147F" w:rsidP="0038147F">
      <w:r w:rsidRPr="00D7393F">
        <w:rPr>
          <w:rtl/>
        </w:rPr>
        <w:t xml:space="preserve">(ליקוט) ולכן </w:t>
      </w:r>
      <w:proofErr w:type="spellStart"/>
      <w:r w:rsidRPr="00D7393F">
        <w:rPr>
          <w:rtl/>
        </w:rPr>
        <w:t>נוהגין</w:t>
      </w:r>
      <w:proofErr w:type="spellEnd"/>
      <w:r w:rsidRPr="00D7393F">
        <w:rPr>
          <w:rtl/>
        </w:rPr>
        <w:t xml:space="preserve"> </w:t>
      </w:r>
      <w:proofErr w:type="spellStart"/>
      <w:r w:rsidRPr="00D7393F">
        <w:rPr>
          <w:rtl/>
        </w:rPr>
        <w:t>כו</w:t>
      </w:r>
      <w:proofErr w:type="spellEnd"/>
      <w:r w:rsidRPr="00D7393F">
        <w:rPr>
          <w:rtl/>
        </w:rPr>
        <w:t xml:space="preserve">'. דבריו א"ל שחר </w:t>
      </w:r>
      <w:proofErr w:type="spellStart"/>
      <w:r w:rsidRPr="00D7393F">
        <w:rPr>
          <w:rtl/>
        </w:rPr>
        <w:t>דא"כ</w:t>
      </w:r>
      <w:proofErr w:type="spellEnd"/>
      <w:r w:rsidRPr="00D7393F">
        <w:rPr>
          <w:rtl/>
        </w:rPr>
        <w:t xml:space="preserve"> מ"ט מאדם אחד </w:t>
      </w:r>
      <w:proofErr w:type="spellStart"/>
      <w:r w:rsidRPr="00D7393F">
        <w:rPr>
          <w:rtl/>
        </w:rPr>
        <w:t>דוקא</w:t>
      </w:r>
      <w:proofErr w:type="spellEnd"/>
      <w:r w:rsidRPr="00D7393F">
        <w:rPr>
          <w:rtl/>
        </w:rPr>
        <w:t xml:space="preserve"> ואחד לא יעשה ב' פעמים סנדק לעולם ולעולם לא ראינו סנדק שמתעשר אלא המנהג הוא ע"פ צוואת ר"י החסיד סי' מ' ע"ש (ע"כ):</w:t>
      </w:r>
    </w:p>
    <w:p w14:paraId="79CC46DA" w14:textId="5B0D5A31" w:rsidR="0038147F" w:rsidRDefault="0038147F" w:rsidP="0038147F">
      <w:pPr>
        <w:pStyle w:val="Heading2"/>
        <w:rPr>
          <w:sz w:val="22"/>
          <w:szCs w:val="22"/>
          <w:rtl/>
        </w:rPr>
      </w:pPr>
      <w:r>
        <w:rPr>
          <w:rFonts w:hint="cs"/>
          <w:rtl/>
        </w:rPr>
        <w:t xml:space="preserve">שו"ת אבני חפץ סימן צא </w:t>
      </w:r>
      <w:r w:rsidRPr="008242D1">
        <w:rPr>
          <w:rFonts w:hint="cs"/>
          <w:sz w:val="22"/>
          <w:szCs w:val="22"/>
          <w:rtl/>
        </w:rPr>
        <w:t>(</w:t>
      </w:r>
      <w:hyperlink r:id="rId6" w:history="1">
        <w:r w:rsidRPr="008242D1">
          <w:rPr>
            <w:rStyle w:val="Hyperlink"/>
            <w:rFonts w:hint="cs"/>
            <w:sz w:val="22"/>
            <w:szCs w:val="22"/>
            <w:rtl/>
          </w:rPr>
          <w:t>קישור</w:t>
        </w:r>
      </w:hyperlink>
      <w:r w:rsidRPr="008242D1">
        <w:rPr>
          <w:rFonts w:hint="cs"/>
          <w:sz w:val="22"/>
          <w:szCs w:val="22"/>
          <w:rtl/>
        </w:rPr>
        <w:t>)</w:t>
      </w:r>
    </w:p>
    <w:p w14:paraId="2CC71AAC" w14:textId="77777777" w:rsidR="0038147F" w:rsidRPr="00CC6ADF" w:rsidRDefault="0038147F" w:rsidP="0038147F">
      <w:pPr>
        <w:rPr>
          <w:rtl/>
        </w:rPr>
      </w:pPr>
      <w:r w:rsidRPr="00CC6ADF">
        <w:rPr>
          <w:noProof/>
        </w:rPr>
        <w:drawing>
          <wp:inline distT="0" distB="0" distL="0" distR="0" wp14:anchorId="3FAED41A" wp14:editId="310BBE31">
            <wp:extent cx="2287270" cy="304205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49" t="63022" r="50286"/>
                    <a:stretch/>
                  </pic:blipFill>
                  <pic:spPr bwMode="auto">
                    <a:xfrm>
                      <a:off x="0" y="0"/>
                      <a:ext cx="2288114" cy="3043175"/>
                    </a:xfrm>
                    <a:prstGeom prst="rect">
                      <a:avLst/>
                    </a:prstGeom>
                    <a:ln>
                      <a:noFill/>
                    </a:ln>
                    <a:extLst>
                      <a:ext uri="{53640926-AAD7-44D8-BBD7-CCE9431645EC}">
                        <a14:shadowObscured xmlns:a14="http://schemas.microsoft.com/office/drawing/2010/main"/>
                      </a:ext>
                    </a:extLst>
                  </pic:spPr>
                </pic:pic>
              </a:graphicData>
            </a:graphic>
          </wp:inline>
        </w:drawing>
      </w:r>
    </w:p>
    <w:p w14:paraId="6D570D87" w14:textId="77777777" w:rsidR="0038147F" w:rsidRPr="00CC6ADF" w:rsidRDefault="0038147F" w:rsidP="0038147F">
      <w:pPr>
        <w:rPr>
          <w:rtl/>
        </w:rPr>
      </w:pPr>
      <w:r w:rsidRPr="00CC6ADF">
        <w:rPr>
          <w:noProof/>
        </w:rPr>
        <w:lastRenderedPageBreak/>
        <w:drawing>
          <wp:inline distT="0" distB="0" distL="0" distR="0" wp14:anchorId="2A8C21FD" wp14:editId="5D00A5A0">
            <wp:extent cx="482473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4730" cy="8229600"/>
                    </a:xfrm>
                    <a:prstGeom prst="rect">
                      <a:avLst/>
                    </a:prstGeom>
                  </pic:spPr>
                </pic:pic>
              </a:graphicData>
            </a:graphic>
          </wp:inline>
        </w:drawing>
      </w:r>
    </w:p>
    <w:p w14:paraId="61AB74F0" w14:textId="77777777" w:rsidR="004E55A7" w:rsidRPr="004E55A7" w:rsidRDefault="004E55A7" w:rsidP="004E55A7">
      <w:pPr>
        <w:pStyle w:val="Heading1"/>
        <w:rPr>
          <w:rtl/>
        </w:rPr>
      </w:pPr>
      <w:r>
        <w:rPr>
          <w:rFonts w:hint="cs"/>
          <w:rtl/>
        </w:rPr>
        <w:lastRenderedPageBreak/>
        <w:t xml:space="preserve">קהלת </w:t>
      </w:r>
      <w:r>
        <w:rPr>
          <w:rtl/>
        </w:rPr>
        <w:t>–</w:t>
      </w:r>
      <w:r>
        <w:rPr>
          <w:rFonts w:hint="cs"/>
          <w:rtl/>
        </w:rPr>
        <w:t xml:space="preserve"> אין כל חדש תחת השמש</w:t>
      </w:r>
    </w:p>
    <w:p w14:paraId="40AE08BF" w14:textId="2E202A2C" w:rsidR="000C25FD" w:rsidRDefault="004E55A7" w:rsidP="004E55A7">
      <w:pPr>
        <w:pStyle w:val="Heading2"/>
        <w:rPr>
          <w:rtl/>
        </w:rPr>
      </w:pPr>
      <w:r>
        <w:rPr>
          <w:rFonts w:hint="cs"/>
          <w:rtl/>
        </w:rPr>
        <w:t>קהלת א:ט</w:t>
      </w:r>
    </w:p>
    <w:p w14:paraId="22FE9E2C" w14:textId="3D6FB203" w:rsidR="004E55A7" w:rsidRDefault="004E55A7" w:rsidP="004E55A7">
      <w:pPr>
        <w:pStyle w:val="Heading2"/>
        <w:rPr>
          <w:rtl/>
        </w:rPr>
      </w:pPr>
      <w:r>
        <w:rPr>
          <w:rFonts w:hint="cs"/>
          <w:rtl/>
        </w:rPr>
        <w:t>בבא מציעא פג:</w:t>
      </w:r>
    </w:p>
    <w:p w14:paraId="010CE972" w14:textId="1DB3DF1D" w:rsidR="004E55A7" w:rsidRDefault="004E55A7" w:rsidP="004E55A7">
      <w:pPr>
        <w:pStyle w:val="Heading2"/>
        <w:rPr>
          <w:rtl/>
        </w:rPr>
      </w:pPr>
      <w:r>
        <w:rPr>
          <w:rFonts w:hint="cs"/>
          <w:rtl/>
        </w:rPr>
        <w:t>מסילת ישרים פרק ב'</w:t>
      </w:r>
    </w:p>
    <w:p w14:paraId="3EB0799F" w14:textId="502BB074" w:rsidR="004E55A7" w:rsidRDefault="004E55A7" w:rsidP="004E55A7">
      <w:pPr>
        <w:pStyle w:val="Heading2"/>
        <w:rPr>
          <w:rtl/>
        </w:rPr>
      </w:pPr>
      <w:r>
        <w:rPr>
          <w:rFonts w:hint="cs"/>
          <w:rtl/>
        </w:rPr>
        <w:t xml:space="preserve">פאר הדור חלק ג' עמ' עט </w:t>
      </w:r>
      <w:r w:rsidRPr="004E55A7">
        <w:rPr>
          <w:rFonts w:hint="cs"/>
          <w:sz w:val="22"/>
          <w:szCs w:val="22"/>
          <w:rtl/>
        </w:rPr>
        <w:t>(</w:t>
      </w:r>
      <w:hyperlink r:id="rId9" w:history="1">
        <w:r w:rsidRPr="004E55A7">
          <w:rPr>
            <w:rStyle w:val="Hyperlink"/>
            <w:rFonts w:hint="cs"/>
            <w:sz w:val="22"/>
            <w:szCs w:val="22"/>
            <w:rtl/>
          </w:rPr>
          <w:t>קישור</w:t>
        </w:r>
      </w:hyperlink>
      <w:r w:rsidRPr="004E55A7">
        <w:rPr>
          <w:rFonts w:hint="cs"/>
          <w:sz w:val="22"/>
          <w:szCs w:val="22"/>
          <w:rtl/>
        </w:rPr>
        <w:t>)</w:t>
      </w:r>
    </w:p>
    <w:p w14:paraId="59D1C408" w14:textId="17C77EF8" w:rsidR="004E55A7" w:rsidRPr="004E55A7" w:rsidRDefault="004E55A7" w:rsidP="004E55A7">
      <w:r w:rsidRPr="004E55A7">
        <w:drawing>
          <wp:inline distT="0" distB="0" distL="0" distR="0" wp14:anchorId="5B5EB2A1" wp14:editId="6C9DF325">
            <wp:extent cx="4699554" cy="4945487"/>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9905"/>
                    <a:stretch/>
                  </pic:blipFill>
                  <pic:spPr bwMode="auto">
                    <a:xfrm>
                      <a:off x="0" y="0"/>
                      <a:ext cx="4699635" cy="4945573"/>
                    </a:xfrm>
                    <a:prstGeom prst="rect">
                      <a:avLst/>
                    </a:prstGeom>
                    <a:ln>
                      <a:noFill/>
                    </a:ln>
                    <a:extLst>
                      <a:ext uri="{53640926-AAD7-44D8-BBD7-CCE9431645EC}">
                        <a14:shadowObscured xmlns:a14="http://schemas.microsoft.com/office/drawing/2010/main"/>
                      </a:ext>
                    </a:extLst>
                  </pic:spPr>
                </pic:pic>
              </a:graphicData>
            </a:graphic>
          </wp:inline>
        </w:drawing>
      </w:r>
    </w:p>
    <w:sectPr w:rsidR="004E55A7" w:rsidRPr="004E55A7">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CCB93" w14:textId="77777777" w:rsidR="00865B54" w:rsidRDefault="00865B54" w:rsidP="009F4441">
      <w:pPr>
        <w:spacing w:after="0" w:line="240" w:lineRule="auto"/>
      </w:pPr>
      <w:r>
        <w:separator/>
      </w:r>
    </w:p>
  </w:endnote>
  <w:endnote w:type="continuationSeparator" w:id="0">
    <w:p w14:paraId="308ADBCF" w14:textId="77777777" w:rsidR="00865B54" w:rsidRDefault="00865B54"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2EF54"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3DDCD" w14:textId="77777777" w:rsidR="00865B54" w:rsidRDefault="00865B54" w:rsidP="009F4441">
      <w:pPr>
        <w:spacing w:after="0" w:line="240" w:lineRule="auto"/>
      </w:pPr>
      <w:r>
        <w:separator/>
      </w:r>
    </w:p>
  </w:footnote>
  <w:footnote w:type="continuationSeparator" w:id="0">
    <w:p w14:paraId="6C4804A5" w14:textId="77777777" w:rsidR="00865B54" w:rsidRDefault="00865B54"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49D4B" w14:textId="77777777"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865B54" w:rsidRPr="00865B54">
      <w:rPr>
        <w:rtl/>
      </w:rPr>
      <w:t xml:space="preserve">   ‏‏‏ח' תשרי תשע"ח</w:t>
    </w:r>
    <w:r w:rsidR="00C47AA7">
      <w:rPr>
        <w:rtl/>
      </w:rPr>
      <w:tab/>
    </w:r>
    <w:r>
      <w:rPr>
        <w:rtl/>
      </w:rPr>
      <w:tab/>
    </w:r>
    <w:r w:rsidRPr="00C52284">
      <w:rPr>
        <w:rtl/>
      </w:rPr>
      <w:t xml:space="preserve"> </w:t>
    </w:r>
    <w:r w:rsidR="00865B54">
      <w:rPr>
        <w:rtl/>
      </w:rPr>
      <w:tab/>
    </w:r>
    <w:r w:rsidR="00865B54">
      <w:rPr>
        <w:rtl/>
      </w:rPr>
      <w:tab/>
    </w:r>
    <w:r w:rsidR="00865B54">
      <w:rPr>
        <w:rFonts w:hint="cs"/>
        <w:rtl/>
      </w:rPr>
      <w:t>מצוות התורה</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B54"/>
    <w:rsid w:val="000C25FD"/>
    <w:rsid w:val="001A3E2F"/>
    <w:rsid w:val="001C7410"/>
    <w:rsid w:val="002D7162"/>
    <w:rsid w:val="0038147F"/>
    <w:rsid w:val="004E55A7"/>
    <w:rsid w:val="00557A3B"/>
    <w:rsid w:val="005F7A82"/>
    <w:rsid w:val="00841C28"/>
    <w:rsid w:val="00865B54"/>
    <w:rsid w:val="009F4441"/>
    <w:rsid w:val="009F5EBD"/>
    <w:rsid w:val="00C47AA7"/>
    <w:rsid w:val="00E56F46"/>
    <w:rsid w:val="00EF0BA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C6453"/>
  <w15:chartTrackingRefBased/>
  <w15:docId w15:val="{7ACF109C-09CC-4613-858E-FEFCEF2F8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147F"/>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38147F"/>
    <w:rPr>
      <w:color w:val="0563C1" w:themeColor="hyperlink"/>
      <w:u w:val="single"/>
    </w:rPr>
  </w:style>
  <w:style w:type="character" w:styleId="UnresolvedMention">
    <w:name w:val="Unresolved Mention"/>
    <w:basedOn w:val="DefaultParagraphFont"/>
    <w:uiPriority w:val="99"/>
    <w:semiHidden/>
    <w:unhideWhenUsed/>
    <w:rsid w:val="004E55A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ebrewbooks.org/pdfpager.aspx?req=665&amp;pgnum=176"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www.otzar.org/wotzar/book.aspx?143769&amp;pageid=P0077"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26</TotalTime>
  <Pages>4</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9</cp:revision>
  <dcterms:created xsi:type="dcterms:W3CDTF">2017-09-28T14:09:00Z</dcterms:created>
  <dcterms:modified xsi:type="dcterms:W3CDTF">2017-09-29T04:13:00Z</dcterms:modified>
</cp:coreProperties>
</file>