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8F2CE"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32E7756B" w14:textId="77777777" w:rsidR="009F4441" w:rsidRDefault="009F4441" w:rsidP="009F4441">
      <w:pPr>
        <w:pStyle w:val="Subtitle"/>
        <w:rPr>
          <w:rtl/>
        </w:rPr>
      </w:pPr>
      <w:r>
        <w:rPr>
          <w:rFonts w:hint="cs"/>
          <w:rtl/>
        </w:rPr>
        <w:t>כותרות</w:t>
      </w:r>
    </w:p>
    <w:p w14:paraId="14D387F6" w14:textId="23197A17" w:rsidR="00F50EFC" w:rsidRDefault="00F50EFC" w:rsidP="006D34BC">
      <w:pPr>
        <w:pStyle w:val="Heading1"/>
        <w:rPr>
          <w:rtl/>
        </w:rPr>
      </w:pPr>
      <w:bookmarkStart w:id="0" w:name="_Toc494217493"/>
      <w:r>
        <w:rPr>
          <w:rFonts w:hint="cs"/>
          <w:rtl/>
        </w:rPr>
        <w:t>אלו ואלו</w:t>
      </w:r>
    </w:p>
    <w:p w14:paraId="3D976A24" w14:textId="77777777" w:rsidR="00F50EFC" w:rsidRDefault="00F50EFC" w:rsidP="00F50EFC">
      <w:pPr>
        <w:pStyle w:val="Heading4"/>
        <w:rPr>
          <w:rtl/>
        </w:rPr>
      </w:pPr>
      <w:r w:rsidRPr="004D3A5F">
        <w:rPr>
          <w:rtl/>
        </w:rPr>
        <w:t>שו"ת אגרות משה אורח חיים חלק א סימן נא</w:t>
      </w:r>
    </w:p>
    <w:p w14:paraId="74CFBB4B" w14:textId="77777777" w:rsidR="00F50EFC" w:rsidRDefault="00F50EFC" w:rsidP="00F50EFC">
      <w:pPr>
        <w:rPr>
          <w:rtl/>
        </w:rPr>
      </w:pPr>
      <w:proofErr w:type="spellStart"/>
      <w:r w:rsidRPr="004D3A5F">
        <w:rPr>
          <w:rtl/>
        </w:rPr>
        <w:t>דכיון</w:t>
      </w:r>
      <w:proofErr w:type="spellEnd"/>
      <w:r w:rsidRPr="004D3A5F">
        <w:rPr>
          <w:rtl/>
        </w:rPr>
        <w:t xml:space="preserve"> דלא </w:t>
      </w:r>
      <w:proofErr w:type="spellStart"/>
      <w:r w:rsidRPr="004D3A5F">
        <w:rPr>
          <w:rtl/>
        </w:rPr>
        <w:t>איפסקבגמ</w:t>
      </w:r>
      <w:proofErr w:type="spellEnd"/>
      <w:r w:rsidRPr="004D3A5F">
        <w:rPr>
          <w:rtl/>
        </w:rPr>
        <w:t>' הלכה כחכמים בפירוש רק משום שהלכה כרבים כדאי הוא היחיד</w:t>
      </w:r>
      <w:r>
        <w:rPr>
          <w:rFonts w:hint="cs"/>
          <w:rtl/>
        </w:rPr>
        <w:t xml:space="preserve"> </w:t>
      </w:r>
      <w:r w:rsidRPr="004D3A5F">
        <w:rPr>
          <w:rtl/>
        </w:rPr>
        <w:t xml:space="preserve">לסמוך עליו בשעת הדחק באיסור דרבנן כמפורש </w:t>
      </w:r>
      <w:proofErr w:type="spellStart"/>
      <w:r w:rsidRPr="004D3A5F">
        <w:rPr>
          <w:rtl/>
        </w:rPr>
        <w:t>בש"ך</w:t>
      </w:r>
      <w:proofErr w:type="spellEnd"/>
      <w:r w:rsidRPr="004D3A5F">
        <w:rPr>
          <w:rtl/>
        </w:rPr>
        <w:t xml:space="preserve"> יו"ד ס"ס רמ"ב</w:t>
      </w:r>
      <w:r>
        <w:rPr>
          <w:rFonts w:hint="cs"/>
          <w:rtl/>
        </w:rPr>
        <w:t xml:space="preserve"> </w:t>
      </w:r>
      <w:r w:rsidRPr="004D3A5F">
        <w:rPr>
          <w:rtl/>
        </w:rPr>
        <w:t xml:space="preserve">בהנהגות הוראת </w:t>
      </w:r>
      <w:proofErr w:type="spellStart"/>
      <w:r w:rsidRPr="004D3A5F">
        <w:rPr>
          <w:rtl/>
        </w:rPr>
        <w:t>או"ה</w:t>
      </w:r>
      <w:proofErr w:type="spellEnd"/>
      <w:r w:rsidRPr="004D3A5F">
        <w:rPr>
          <w:rtl/>
        </w:rPr>
        <w:t xml:space="preserve">. ואין לומר </w:t>
      </w:r>
      <w:proofErr w:type="spellStart"/>
      <w:r w:rsidRPr="004D3A5F">
        <w:rPr>
          <w:rtl/>
        </w:rPr>
        <w:t>דהפסק</w:t>
      </w:r>
      <w:proofErr w:type="spellEnd"/>
      <w:r w:rsidRPr="004D3A5F">
        <w:rPr>
          <w:rtl/>
        </w:rPr>
        <w:t xml:space="preserve"> שבפוסקים הוא </w:t>
      </w:r>
      <w:proofErr w:type="spellStart"/>
      <w:r w:rsidRPr="004D3A5F">
        <w:rPr>
          <w:rtl/>
        </w:rPr>
        <w:t>כאיפסק</w:t>
      </w:r>
      <w:proofErr w:type="spellEnd"/>
      <w:r w:rsidRPr="004D3A5F">
        <w:rPr>
          <w:rtl/>
        </w:rPr>
        <w:t xml:space="preserve"> בפירוש</w:t>
      </w:r>
      <w:r>
        <w:rPr>
          <w:rFonts w:hint="cs"/>
          <w:rtl/>
        </w:rPr>
        <w:t xml:space="preserve"> </w:t>
      </w:r>
      <w:proofErr w:type="spellStart"/>
      <w:r w:rsidRPr="004D3A5F">
        <w:rPr>
          <w:rtl/>
        </w:rPr>
        <w:t>דהא</w:t>
      </w:r>
      <w:proofErr w:type="spellEnd"/>
      <w:r w:rsidRPr="004D3A5F">
        <w:rPr>
          <w:rtl/>
        </w:rPr>
        <w:t xml:space="preserve"> הפוסקים לא הכריעו מצד עצמם שהלכה כחכמים </w:t>
      </w:r>
      <w:proofErr w:type="spellStart"/>
      <w:r w:rsidRPr="004D3A5F">
        <w:rPr>
          <w:rtl/>
        </w:rPr>
        <w:t>דאין</w:t>
      </w:r>
      <w:proofErr w:type="spellEnd"/>
      <w:r w:rsidRPr="004D3A5F">
        <w:rPr>
          <w:rtl/>
        </w:rPr>
        <w:t xml:space="preserve"> להם </w:t>
      </w:r>
      <w:proofErr w:type="spellStart"/>
      <w:r w:rsidRPr="004D3A5F">
        <w:rPr>
          <w:rtl/>
        </w:rPr>
        <w:t>כח</w:t>
      </w:r>
      <w:proofErr w:type="spellEnd"/>
      <w:r w:rsidRPr="004D3A5F">
        <w:rPr>
          <w:rtl/>
        </w:rPr>
        <w:t xml:space="preserve"> להכריע</w:t>
      </w:r>
      <w:r>
        <w:rPr>
          <w:rFonts w:hint="cs"/>
          <w:rtl/>
        </w:rPr>
        <w:t xml:space="preserve"> </w:t>
      </w:r>
      <w:r w:rsidRPr="004D3A5F">
        <w:rPr>
          <w:rtl/>
        </w:rPr>
        <w:t xml:space="preserve">בין התנאים והאמוראים רק שהעתיקו הדין כחכמים מהכלל הלכה כרבים. </w:t>
      </w:r>
      <w:proofErr w:type="spellStart"/>
      <w:r w:rsidRPr="004D3A5F">
        <w:rPr>
          <w:rtl/>
        </w:rPr>
        <w:t>ול"ד</w:t>
      </w:r>
      <w:proofErr w:type="spellEnd"/>
      <w:r w:rsidRPr="004D3A5F">
        <w:rPr>
          <w:rtl/>
        </w:rPr>
        <w:t xml:space="preserve"> לנפסק בגמ' בפירוש שהתם הכריעו חכמי </w:t>
      </w:r>
      <w:proofErr w:type="spellStart"/>
      <w:r w:rsidRPr="004D3A5F">
        <w:rPr>
          <w:rtl/>
        </w:rPr>
        <w:t>הגמ</w:t>
      </w:r>
      <w:proofErr w:type="spellEnd"/>
      <w:r w:rsidRPr="004D3A5F">
        <w:rPr>
          <w:rtl/>
        </w:rPr>
        <w:t xml:space="preserve">' שדברי השני אינם </w:t>
      </w:r>
      <w:proofErr w:type="spellStart"/>
      <w:r w:rsidRPr="004D3A5F">
        <w:rPr>
          <w:rtl/>
        </w:rPr>
        <w:t>כלוםואין</w:t>
      </w:r>
      <w:proofErr w:type="spellEnd"/>
      <w:r w:rsidRPr="004D3A5F">
        <w:rPr>
          <w:rtl/>
        </w:rPr>
        <w:t xml:space="preserve"> לסמוך עליו אף במקום הדחק אבל פסקי הגאונים במחלוקת חכמי </w:t>
      </w:r>
      <w:proofErr w:type="spellStart"/>
      <w:r w:rsidRPr="004D3A5F">
        <w:rPr>
          <w:rtl/>
        </w:rPr>
        <w:t>הגמ</w:t>
      </w:r>
      <w:proofErr w:type="spellEnd"/>
      <w:r w:rsidRPr="004D3A5F">
        <w:rPr>
          <w:rtl/>
        </w:rPr>
        <w:t>'</w:t>
      </w:r>
      <w:r>
        <w:rPr>
          <w:rFonts w:hint="cs"/>
          <w:rtl/>
        </w:rPr>
        <w:t xml:space="preserve"> </w:t>
      </w:r>
      <w:r w:rsidRPr="004D3A5F">
        <w:rPr>
          <w:rtl/>
        </w:rPr>
        <w:t>אינם הכרעה והוא כלא איתמר הלכתא רק מצד שהלכה כרבים פסקו שמצד</w:t>
      </w:r>
      <w:r>
        <w:rPr>
          <w:rFonts w:hint="cs"/>
          <w:rtl/>
        </w:rPr>
        <w:t xml:space="preserve"> </w:t>
      </w:r>
      <w:r w:rsidRPr="004D3A5F">
        <w:rPr>
          <w:rtl/>
        </w:rPr>
        <w:t>זה הא יש לסמוך על היחיד בשעת הדחק.</w:t>
      </w:r>
    </w:p>
    <w:p w14:paraId="236D926F" w14:textId="2B6ED8DC" w:rsidR="00F50EFC" w:rsidRPr="00F50EFC" w:rsidRDefault="00F50EFC" w:rsidP="00F50EFC">
      <w:pPr>
        <w:rPr>
          <w:rtl/>
        </w:rPr>
      </w:pPr>
      <w:r w:rsidRPr="004D3A5F">
        <w:rPr>
          <w:rtl/>
        </w:rPr>
        <w:t>כמפורש היתר כזה בט"ז /יו"ד/סי' רצ"ג לענין חדש, והש"ך בנקה"כ לא פליג עליה אלא משום דהוא סובר</w:t>
      </w:r>
      <w:r>
        <w:rPr>
          <w:rFonts w:hint="cs"/>
          <w:rtl/>
        </w:rPr>
        <w:t xml:space="preserve"> </w:t>
      </w:r>
      <w:r w:rsidRPr="004D3A5F">
        <w:rPr>
          <w:rtl/>
        </w:rPr>
        <w:t>דרק</w:t>
      </w:r>
      <w:r>
        <w:rPr>
          <w:rFonts w:hint="cs"/>
          <w:rtl/>
        </w:rPr>
        <w:t xml:space="preserve"> </w:t>
      </w:r>
      <w:r w:rsidRPr="004D3A5F">
        <w:rPr>
          <w:rtl/>
        </w:rPr>
        <w:t>באיסור</w:t>
      </w:r>
      <w:r>
        <w:rPr>
          <w:rFonts w:hint="cs"/>
          <w:rtl/>
        </w:rPr>
        <w:t xml:space="preserve"> </w:t>
      </w:r>
      <w:r w:rsidRPr="004D3A5F">
        <w:rPr>
          <w:rtl/>
        </w:rPr>
        <w:t>דרבנן</w:t>
      </w:r>
      <w:r>
        <w:rPr>
          <w:rFonts w:hint="cs"/>
          <w:rtl/>
        </w:rPr>
        <w:t xml:space="preserve"> </w:t>
      </w:r>
      <w:proofErr w:type="spellStart"/>
      <w:r w:rsidRPr="004D3A5F">
        <w:rPr>
          <w:rtl/>
        </w:rPr>
        <w:t>סומכין</w:t>
      </w:r>
      <w:proofErr w:type="spellEnd"/>
      <w:r w:rsidRPr="004D3A5F">
        <w:rPr>
          <w:rtl/>
        </w:rPr>
        <w:t> על היחיד </w:t>
      </w:r>
      <w:proofErr w:type="spellStart"/>
      <w:r w:rsidRPr="004D3A5F">
        <w:rPr>
          <w:rtl/>
        </w:rPr>
        <w:t>בשעה"ד</w:t>
      </w:r>
      <w:proofErr w:type="spellEnd"/>
      <w:r w:rsidRPr="004D3A5F">
        <w:rPr>
          <w:rtl/>
        </w:rPr>
        <w:t> אבל באיסור דרבנן מודה,</w:t>
      </w:r>
      <w:r>
        <w:rPr>
          <w:rFonts w:hint="cs"/>
          <w:rtl/>
        </w:rPr>
        <w:t xml:space="preserve"> </w:t>
      </w:r>
      <w:r w:rsidRPr="004D3A5F">
        <w:rPr>
          <w:rtl/>
        </w:rPr>
        <w:t>כמפורש בדבריו בהנהגות </w:t>
      </w:r>
      <w:proofErr w:type="spellStart"/>
      <w:r w:rsidRPr="004D3A5F">
        <w:rPr>
          <w:rtl/>
        </w:rPr>
        <w:t>או"ה</w:t>
      </w:r>
      <w:proofErr w:type="spellEnd"/>
      <w:r w:rsidRPr="004D3A5F">
        <w:rPr>
          <w:rtl/>
        </w:rPr>
        <w:t>.</w:t>
      </w:r>
    </w:p>
    <w:p w14:paraId="749066A1" w14:textId="490D0DB4" w:rsidR="006D34BC" w:rsidRDefault="006D34BC" w:rsidP="006D34BC">
      <w:pPr>
        <w:pStyle w:val="Heading1"/>
        <w:rPr>
          <w:rtl/>
        </w:rPr>
      </w:pPr>
      <w:r>
        <w:rPr>
          <w:rFonts w:hint="cs"/>
          <w:rtl/>
        </w:rPr>
        <w:t xml:space="preserve">אלו ואלו </w:t>
      </w:r>
      <w:r>
        <w:rPr>
          <w:rtl/>
        </w:rPr>
        <w:t>–</w:t>
      </w:r>
      <w:r>
        <w:rPr>
          <w:rFonts w:hint="cs"/>
          <w:rtl/>
        </w:rPr>
        <w:t xml:space="preserve"> מתי אין אומרים </w:t>
      </w:r>
      <w:r w:rsidRPr="00DF27EB">
        <w:rPr>
          <w:rFonts w:hint="cs"/>
          <w:rtl/>
        </w:rPr>
        <w:t>אלו</w:t>
      </w:r>
      <w:r>
        <w:rPr>
          <w:rFonts w:hint="cs"/>
          <w:rtl/>
        </w:rPr>
        <w:t xml:space="preserve"> ואלו</w:t>
      </w:r>
      <w:bookmarkEnd w:id="0"/>
    </w:p>
    <w:p w14:paraId="62BE29BE" w14:textId="77777777" w:rsidR="006D34BC" w:rsidRDefault="006D34BC" w:rsidP="006D34BC">
      <w:pPr>
        <w:pStyle w:val="Heading4"/>
        <w:rPr>
          <w:rtl/>
        </w:rPr>
      </w:pPr>
      <w:r>
        <w:rPr>
          <w:rFonts w:hint="cs"/>
          <w:rtl/>
        </w:rPr>
        <w:t xml:space="preserve">שלחן ערוך יורה דעה </w:t>
      </w:r>
      <w:proofErr w:type="spellStart"/>
      <w:r>
        <w:rPr>
          <w:rFonts w:hint="cs"/>
          <w:rtl/>
        </w:rPr>
        <w:t>רמב:יג</w:t>
      </w:r>
      <w:proofErr w:type="spellEnd"/>
    </w:p>
    <w:p w14:paraId="34545696" w14:textId="77777777" w:rsidR="006D34BC" w:rsidRPr="009B212F" w:rsidRDefault="006D34BC" w:rsidP="006D34BC">
      <w:r>
        <w:rPr>
          <w:rtl/>
        </w:rPr>
        <w:t>תלמיד שלא הגיע להוראה ומורה,</w:t>
      </w:r>
      <w:r w:rsidRPr="009B212F">
        <w:rPr>
          <w:rtl/>
        </w:rPr>
        <w:t xml:space="preserve"> הרי זה שוטה רשע וגס רוח, ועליו נאמר: כי רבים חללים הפילה (משלי ז, </w:t>
      </w:r>
      <w:proofErr w:type="spellStart"/>
      <w:r w:rsidRPr="009B212F">
        <w:rPr>
          <w:rtl/>
        </w:rPr>
        <w:t>כו</w:t>
      </w:r>
      <w:proofErr w:type="spellEnd"/>
      <w:r w:rsidRPr="009B212F">
        <w:rPr>
          <w:rtl/>
        </w:rPr>
        <w:t xml:space="preserve">). הגה: ותלמידים הקטנים הקופצים להורות </w:t>
      </w:r>
      <w:proofErr w:type="spellStart"/>
      <w:r w:rsidRPr="009B212F">
        <w:rPr>
          <w:rtl/>
        </w:rPr>
        <w:t>ולישב</w:t>
      </w:r>
      <w:proofErr w:type="spellEnd"/>
      <w:r w:rsidRPr="009B212F">
        <w:rPr>
          <w:rtl/>
        </w:rPr>
        <w:t xml:space="preserve"> בראש, להתגדל בפני עמי הארץ, מרבים מחלוקת ומחריבים העולם </w:t>
      </w:r>
      <w:proofErr w:type="spellStart"/>
      <w:r w:rsidRPr="009B212F">
        <w:rPr>
          <w:rtl/>
        </w:rPr>
        <w:t>ומכבין</w:t>
      </w:r>
      <w:proofErr w:type="spellEnd"/>
      <w:r w:rsidRPr="009B212F">
        <w:rPr>
          <w:rtl/>
        </w:rPr>
        <w:t xml:space="preserve"> נרה של תורה.</w:t>
      </w:r>
    </w:p>
    <w:p w14:paraId="228A75EF" w14:textId="77777777" w:rsidR="006D34BC" w:rsidRDefault="006D34BC" w:rsidP="006D34BC">
      <w:pPr>
        <w:pStyle w:val="Heading4"/>
        <w:rPr>
          <w:rtl/>
        </w:rPr>
      </w:pPr>
      <w:r>
        <w:rPr>
          <w:rFonts w:hint="cs"/>
          <w:rtl/>
        </w:rPr>
        <w:t xml:space="preserve">רש"י </w:t>
      </w:r>
      <w:proofErr w:type="spellStart"/>
      <w:r>
        <w:rPr>
          <w:rFonts w:hint="cs"/>
          <w:rtl/>
        </w:rPr>
        <w:t>ותוס</w:t>
      </w:r>
      <w:proofErr w:type="spellEnd"/>
      <w:r>
        <w:rPr>
          <w:rFonts w:hint="cs"/>
          <w:rtl/>
        </w:rPr>
        <w:t xml:space="preserve">' כתובות </w:t>
      </w:r>
      <w:proofErr w:type="spellStart"/>
      <w:r>
        <w:rPr>
          <w:rFonts w:hint="cs"/>
          <w:rtl/>
        </w:rPr>
        <w:t>נז</w:t>
      </w:r>
      <w:proofErr w:type="spellEnd"/>
      <w:r>
        <w:rPr>
          <w:rFonts w:hint="cs"/>
          <w:rtl/>
        </w:rPr>
        <w:t>.</w:t>
      </w:r>
    </w:p>
    <w:p w14:paraId="34DB2991" w14:textId="77777777" w:rsidR="006D34BC" w:rsidRDefault="006D34BC" w:rsidP="006D34BC">
      <w:pPr>
        <w:pStyle w:val="Heading4"/>
        <w:rPr>
          <w:rFonts w:hint="cs"/>
          <w:rtl/>
        </w:rPr>
      </w:pPr>
      <w:proofErr w:type="spellStart"/>
      <w:r>
        <w:rPr>
          <w:rFonts w:hint="cs"/>
          <w:rtl/>
        </w:rPr>
        <w:t>ריטב"א</w:t>
      </w:r>
      <w:proofErr w:type="spellEnd"/>
      <w:r>
        <w:rPr>
          <w:rFonts w:hint="cs"/>
          <w:rtl/>
        </w:rPr>
        <w:t xml:space="preserve"> </w:t>
      </w:r>
      <w:proofErr w:type="spellStart"/>
      <w:r>
        <w:rPr>
          <w:rFonts w:hint="cs"/>
          <w:rtl/>
        </w:rPr>
        <w:t>ערובין</w:t>
      </w:r>
      <w:proofErr w:type="spellEnd"/>
      <w:r>
        <w:rPr>
          <w:rFonts w:hint="cs"/>
          <w:rtl/>
        </w:rPr>
        <w:t xml:space="preserve"> </w:t>
      </w:r>
      <w:proofErr w:type="spellStart"/>
      <w:r>
        <w:rPr>
          <w:rFonts w:hint="cs"/>
          <w:rtl/>
        </w:rPr>
        <w:t>יג</w:t>
      </w:r>
      <w:proofErr w:type="spellEnd"/>
      <w:r>
        <w:rPr>
          <w:rFonts w:hint="cs"/>
          <w:rtl/>
        </w:rPr>
        <w:t>:</w:t>
      </w:r>
    </w:p>
    <w:p w14:paraId="56D66E0D" w14:textId="77777777" w:rsidR="006D34BC" w:rsidRPr="00F51538" w:rsidRDefault="006D34BC" w:rsidP="006D34BC">
      <w:pPr>
        <w:rPr>
          <w:rtl/>
        </w:rPr>
      </w:pPr>
      <w:r w:rsidRPr="00F51538">
        <w:rPr>
          <w:rtl/>
        </w:rPr>
        <w:t xml:space="preserve">  אלו ואלו דברי </w:t>
      </w:r>
      <w:proofErr w:type="spellStart"/>
      <w:r w:rsidRPr="00F51538">
        <w:rPr>
          <w:rtl/>
        </w:rPr>
        <w:t>אלהים</w:t>
      </w:r>
      <w:proofErr w:type="spellEnd"/>
      <w:r w:rsidRPr="00F51538">
        <w:rPr>
          <w:rtl/>
        </w:rPr>
        <w:t xml:space="preserve"> חיים. שאלו רבני צרפת ז"ל היאך אפשר </w:t>
      </w:r>
      <w:proofErr w:type="spellStart"/>
      <w:r w:rsidRPr="00F51538">
        <w:rPr>
          <w:rtl/>
        </w:rPr>
        <w:t>שיהו</w:t>
      </w:r>
      <w:proofErr w:type="spellEnd"/>
      <w:r w:rsidRPr="00F51538">
        <w:rPr>
          <w:rtl/>
        </w:rPr>
        <w:t xml:space="preserve"> שניהם דברי </w:t>
      </w:r>
      <w:proofErr w:type="spellStart"/>
      <w:r w:rsidRPr="00F51538">
        <w:rPr>
          <w:rtl/>
        </w:rPr>
        <w:t>אלהים</w:t>
      </w:r>
      <w:proofErr w:type="spellEnd"/>
      <w:r w:rsidRPr="00F51538">
        <w:rPr>
          <w:rtl/>
        </w:rPr>
        <w:t xml:space="preserve"> חיים וזה אוסר וזה מתיר, ותירצו כי כשעלה משה למרום לקבל תורה הראו לו על כל דבר ודבר מ"ט פנים לאיסור ומ"ט פנים להיתר, ושאל להקב"ה על זה, ואמר שיהא זה מסור לחכמי ישראל שבכל דור ודור ויהיה הכרעה כמותם, ונכון הוא לפי הדרש ובדרך האמת יש טעם וסוד בדבר.</w:t>
      </w:r>
    </w:p>
    <w:p w14:paraId="7B48C269" w14:textId="77777777" w:rsidR="006D34BC" w:rsidRDefault="006D34BC" w:rsidP="006D34BC">
      <w:pPr>
        <w:pStyle w:val="Heading4"/>
        <w:rPr>
          <w:rtl/>
        </w:rPr>
      </w:pPr>
      <w:r>
        <w:rPr>
          <w:rFonts w:hint="cs"/>
          <w:rtl/>
        </w:rPr>
        <w:t>תענית לא.</w:t>
      </w:r>
    </w:p>
    <w:p w14:paraId="3157203F" w14:textId="15A94F4E" w:rsidR="006D34BC" w:rsidRDefault="006D34BC" w:rsidP="006D34BC">
      <w:pPr>
        <w:rPr>
          <w:rtl/>
        </w:rPr>
      </w:pPr>
      <w:r w:rsidRPr="00700914">
        <w:rPr>
          <w:rtl/>
        </w:rPr>
        <w:t xml:space="preserve">אמר </w:t>
      </w:r>
      <w:proofErr w:type="spellStart"/>
      <w:r w:rsidRPr="00700914">
        <w:rPr>
          <w:rtl/>
        </w:rPr>
        <w:t>עולא</w:t>
      </w:r>
      <w:proofErr w:type="spellEnd"/>
      <w:r w:rsidRPr="00700914">
        <w:rPr>
          <w:rtl/>
        </w:rPr>
        <w:t xml:space="preserve"> ביראה אמר רבי אלעזר: עתיד הקדוש ברוך הוא לעשות מחול לצדיקים, והוא יושב ביניהם בגן עדן, וכל אחד ואחד מראה באצבעו, שנאמר </w:t>
      </w:r>
      <w:proofErr w:type="spellStart"/>
      <w:r w:rsidRPr="00700914">
        <w:rPr>
          <w:rtl/>
        </w:rPr>
        <w:t>אואמר</w:t>
      </w:r>
      <w:proofErr w:type="spellEnd"/>
      <w:r w:rsidRPr="00700914">
        <w:rPr>
          <w:rtl/>
        </w:rPr>
        <w:t xml:space="preserve"> ביום ההוא הנה </w:t>
      </w:r>
      <w:proofErr w:type="spellStart"/>
      <w:r w:rsidRPr="00700914">
        <w:rPr>
          <w:rtl/>
        </w:rPr>
        <w:t>אלהינו</w:t>
      </w:r>
      <w:proofErr w:type="spellEnd"/>
      <w:r w:rsidRPr="00700914">
        <w:rPr>
          <w:rtl/>
        </w:rPr>
        <w:t xml:space="preserve"> זה </w:t>
      </w:r>
      <w:proofErr w:type="spellStart"/>
      <w:r w:rsidRPr="00700914">
        <w:rPr>
          <w:rtl/>
        </w:rPr>
        <w:t>קוינו</w:t>
      </w:r>
      <w:proofErr w:type="spellEnd"/>
      <w:r w:rsidRPr="00700914">
        <w:rPr>
          <w:rtl/>
        </w:rPr>
        <w:t xml:space="preserve"> לו ויושיענו זה ה' </w:t>
      </w:r>
      <w:proofErr w:type="spellStart"/>
      <w:r w:rsidRPr="00700914">
        <w:rPr>
          <w:rtl/>
        </w:rPr>
        <w:t>קוינו</w:t>
      </w:r>
      <w:proofErr w:type="spellEnd"/>
      <w:r w:rsidRPr="00700914">
        <w:rPr>
          <w:rtl/>
        </w:rPr>
        <w:t xml:space="preserve"> לו נגילה ונשמחה בישועתו. הדרן עלך בשלשה פרקים </w:t>
      </w:r>
      <w:proofErr w:type="spellStart"/>
      <w:r w:rsidRPr="00700914">
        <w:rPr>
          <w:rtl/>
        </w:rPr>
        <w:t>וסליקא</w:t>
      </w:r>
      <w:proofErr w:type="spellEnd"/>
      <w:r w:rsidRPr="00700914">
        <w:rPr>
          <w:rtl/>
        </w:rPr>
        <w:t xml:space="preserve"> לה מסכת תענית.</w:t>
      </w:r>
    </w:p>
    <w:p w14:paraId="06E199DF" w14:textId="77777777" w:rsidR="007950F9" w:rsidRDefault="007950F9" w:rsidP="007950F9">
      <w:pPr>
        <w:pStyle w:val="Heading1"/>
        <w:rPr>
          <w:rtl/>
        </w:rPr>
      </w:pPr>
      <w:bookmarkStart w:id="1" w:name="_Toc494217427"/>
      <w:r>
        <w:rPr>
          <w:rFonts w:hint="cs"/>
          <w:rtl/>
        </w:rPr>
        <w:t xml:space="preserve">אבלות </w:t>
      </w:r>
      <w:r>
        <w:rPr>
          <w:rtl/>
        </w:rPr>
        <w:t>–</w:t>
      </w:r>
      <w:r>
        <w:rPr>
          <w:rFonts w:hint="cs"/>
          <w:rtl/>
        </w:rPr>
        <w:t xml:space="preserve"> הקמת מצבה</w:t>
      </w:r>
      <w:bookmarkEnd w:id="1"/>
    </w:p>
    <w:p w14:paraId="17D8BDFB" w14:textId="77777777" w:rsidR="007950F9" w:rsidRPr="00804C6B" w:rsidRDefault="007950F9" w:rsidP="007950F9">
      <w:pPr>
        <w:pStyle w:val="Heading4"/>
        <w:rPr>
          <w:rtl/>
        </w:rPr>
      </w:pPr>
      <w:r>
        <w:rPr>
          <w:rFonts w:hint="cs"/>
          <w:rtl/>
        </w:rPr>
        <w:t xml:space="preserve">המנהג בארץ ישראל </w:t>
      </w:r>
      <w:bookmarkStart w:id="2" w:name="_GoBack"/>
      <w:r w:rsidRPr="007950F9">
        <w:rPr>
          <w:rFonts w:hint="cs"/>
          <w:sz w:val="22"/>
          <w:szCs w:val="22"/>
          <w:rtl/>
        </w:rPr>
        <w:t>(</w:t>
      </w:r>
      <w:hyperlink r:id="rId6" w:history="1">
        <w:r w:rsidRPr="007950F9">
          <w:rPr>
            <w:rStyle w:val="Hyperlink"/>
            <w:rFonts w:hint="cs"/>
            <w:sz w:val="22"/>
            <w:szCs w:val="22"/>
            <w:rtl/>
          </w:rPr>
          <w:t>קישור</w:t>
        </w:r>
      </w:hyperlink>
      <w:r w:rsidRPr="007950F9">
        <w:rPr>
          <w:rFonts w:hint="cs"/>
          <w:sz w:val="22"/>
          <w:szCs w:val="22"/>
          <w:rtl/>
        </w:rPr>
        <w:t>)</w:t>
      </w:r>
      <w:bookmarkEnd w:id="2"/>
    </w:p>
    <w:p w14:paraId="70FD01F9" w14:textId="77777777" w:rsidR="007950F9" w:rsidRDefault="007950F9" w:rsidP="007950F9">
      <w:pPr>
        <w:pStyle w:val="Heading1"/>
        <w:rPr>
          <w:rtl/>
        </w:rPr>
      </w:pPr>
      <w:bookmarkStart w:id="3" w:name="_Toc494217428"/>
      <w:r>
        <w:rPr>
          <w:rFonts w:hint="cs"/>
          <w:rtl/>
        </w:rPr>
        <w:t xml:space="preserve">אבלות </w:t>
      </w:r>
      <w:r>
        <w:rPr>
          <w:rtl/>
        </w:rPr>
        <w:t>–</w:t>
      </w:r>
      <w:r>
        <w:rPr>
          <w:rFonts w:hint="cs"/>
          <w:rtl/>
        </w:rPr>
        <w:t xml:space="preserve"> זמן התחלתה</w:t>
      </w:r>
      <w:bookmarkEnd w:id="3"/>
    </w:p>
    <w:p w14:paraId="3541ABB6" w14:textId="77777777" w:rsidR="007950F9" w:rsidRDefault="007950F9" w:rsidP="007950F9">
      <w:pPr>
        <w:pStyle w:val="Heading4"/>
        <w:rPr>
          <w:rtl/>
        </w:rPr>
      </w:pPr>
      <w:r>
        <w:rPr>
          <w:rFonts w:hint="cs"/>
          <w:rtl/>
        </w:rPr>
        <w:t xml:space="preserve">מועד קטן </w:t>
      </w:r>
      <w:proofErr w:type="spellStart"/>
      <w:r>
        <w:rPr>
          <w:rFonts w:hint="cs"/>
          <w:rtl/>
        </w:rPr>
        <w:t>כז</w:t>
      </w:r>
      <w:proofErr w:type="spellEnd"/>
      <w:r>
        <w:rPr>
          <w:rFonts w:hint="cs"/>
          <w:rtl/>
        </w:rPr>
        <w:t>.</w:t>
      </w:r>
    </w:p>
    <w:p w14:paraId="33654181" w14:textId="77777777" w:rsidR="007950F9" w:rsidRDefault="007950F9" w:rsidP="007950F9">
      <w:pPr>
        <w:pStyle w:val="Heading4"/>
        <w:rPr>
          <w:rtl/>
        </w:rPr>
      </w:pPr>
      <w:r>
        <w:rPr>
          <w:rFonts w:hint="cs"/>
          <w:rtl/>
        </w:rPr>
        <w:t>כתובות ד: רש"י ותוספות שם ד"ה עד שיסתום הגולל</w:t>
      </w:r>
    </w:p>
    <w:p w14:paraId="4E8ECA47" w14:textId="77777777" w:rsidR="007950F9" w:rsidRDefault="007950F9" w:rsidP="007950F9">
      <w:pPr>
        <w:pStyle w:val="Heading4"/>
        <w:rPr>
          <w:rtl/>
        </w:rPr>
      </w:pPr>
      <w:r>
        <w:rPr>
          <w:rFonts w:hint="cs"/>
          <w:rtl/>
        </w:rPr>
        <w:lastRenderedPageBreak/>
        <w:t xml:space="preserve">שיטה מקובצת כתובות ד: ד"ה עד </w:t>
      </w:r>
      <w:proofErr w:type="spellStart"/>
      <w:r>
        <w:rPr>
          <w:rFonts w:hint="cs"/>
          <w:rtl/>
        </w:rPr>
        <w:t>שיסתם</w:t>
      </w:r>
      <w:proofErr w:type="spellEnd"/>
      <w:r>
        <w:rPr>
          <w:rFonts w:hint="cs"/>
          <w:rtl/>
        </w:rPr>
        <w:t xml:space="preserve"> הגולל</w:t>
      </w:r>
    </w:p>
    <w:p w14:paraId="56F2EC85" w14:textId="77777777" w:rsidR="007950F9" w:rsidRPr="004D14E5" w:rsidRDefault="007950F9" w:rsidP="007950F9">
      <w:pPr>
        <w:rPr>
          <w:rtl/>
        </w:rPr>
      </w:pPr>
      <w:r w:rsidRPr="004D14E5">
        <w:rPr>
          <w:rtl/>
        </w:rPr>
        <w:t xml:space="preserve">עד </w:t>
      </w:r>
      <w:proofErr w:type="spellStart"/>
      <w:r w:rsidRPr="004D14E5">
        <w:rPr>
          <w:rtl/>
        </w:rPr>
        <w:t>שיסתם</w:t>
      </w:r>
      <w:proofErr w:type="spellEnd"/>
      <w:r w:rsidRPr="004D14E5">
        <w:rPr>
          <w:rtl/>
        </w:rPr>
        <w:t xml:space="preserve"> הגולל. </w:t>
      </w:r>
      <w:proofErr w:type="spellStart"/>
      <w:r w:rsidRPr="004D14E5">
        <w:rPr>
          <w:rtl/>
        </w:rPr>
        <w:t>פרש"י</w:t>
      </w:r>
      <w:proofErr w:type="spellEnd"/>
      <w:r w:rsidRPr="004D14E5">
        <w:rPr>
          <w:rtl/>
        </w:rPr>
        <w:t xml:space="preserve"> כסוי הארון </w:t>
      </w:r>
      <w:proofErr w:type="spellStart"/>
      <w:r w:rsidRPr="004D14E5">
        <w:rPr>
          <w:rtl/>
        </w:rPr>
        <w:t>ול"נ</w:t>
      </w:r>
      <w:proofErr w:type="spellEnd"/>
      <w:r w:rsidRPr="004D14E5">
        <w:rPr>
          <w:rtl/>
        </w:rPr>
        <w:t xml:space="preserve"> </w:t>
      </w:r>
      <w:proofErr w:type="spellStart"/>
      <w:r w:rsidRPr="004D14E5">
        <w:rPr>
          <w:rtl/>
        </w:rPr>
        <w:t>דלישנא</w:t>
      </w:r>
      <w:proofErr w:type="spellEnd"/>
      <w:r w:rsidRPr="004D14E5">
        <w:rPr>
          <w:rtl/>
        </w:rPr>
        <w:t xml:space="preserve"> לא דייק הכי כלל ועוד </w:t>
      </w:r>
      <w:proofErr w:type="spellStart"/>
      <w:r w:rsidRPr="004D14E5">
        <w:rPr>
          <w:rtl/>
        </w:rPr>
        <w:t>מדאמרינן</w:t>
      </w:r>
      <w:proofErr w:type="spellEnd"/>
      <w:r w:rsidRPr="004D14E5">
        <w:rPr>
          <w:rtl/>
        </w:rPr>
        <w:t xml:space="preserve"> התם על פני השדה לרבות גולל ודופק </w:t>
      </w:r>
      <w:proofErr w:type="spellStart"/>
      <w:r w:rsidRPr="004D14E5">
        <w:rPr>
          <w:rtl/>
        </w:rPr>
        <w:t>אלמא</w:t>
      </w:r>
      <w:proofErr w:type="spellEnd"/>
      <w:r w:rsidRPr="004D14E5">
        <w:rPr>
          <w:rtl/>
        </w:rPr>
        <w:t xml:space="preserve"> מידי </w:t>
      </w:r>
      <w:proofErr w:type="spellStart"/>
      <w:r w:rsidRPr="004D14E5">
        <w:rPr>
          <w:rtl/>
        </w:rPr>
        <w:t>דקרקע</w:t>
      </w:r>
      <w:proofErr w:type="spellEnd"/>
      <w:r w:rsidRPr="004D14E5">
        <w:rPr>
          <w:rtl/>
        </w:rPr>
        <w:t xml:space="preserve"> הוא ועוד יש לפרש ע"פ תשובות אחרות והנכון כפירוש ר"ת ז"ל </w:t>
      </w:r>
      <w:proofErr w:type="spellStart"/>
      <w:r w:rsidRPr="004D14E5">
        <w:rPr>
          <w:rtl/>
        </w:rPr>
        <w:t>דסתימת</w:t>
      </w:r>
      <w:proofErr w:type="spellEnd"/>
      <w:r w:rsidRPr="004D14E5">
        <w:rPr>
          <w:rtl/>
        </w:rPr>
        <w:t xml:space="preserve"> הגולל הוא כסוי הקבר והיו </w:t>
      </w:r>
      <w:proofErr w:type="spellStart"/>
      <w:r w:rsidRPr="004D14E5">
        <w:rPr>
          <w:rtl/>
        </w:rPr>
        <w:t>נוהגין</w:t>
      </w:r>
      <w:proofErr w:type="spellEnd"/>
      <w:r w:rsidRPr="004D14E5">
        <w:rPr>
          <w:rtl/>
        </w:rPr>
        <w:t xml:space="preserve"> לתת עליו אבן גדולה והוא מלשון וגללו את האבן. וכבר הארכתי בזה בהרבה מקומות. </w:t>
      </w:r>
      <w:proofErr w:type="spellStart"/>
      <w:r w:rsidRPr="004D14E5">
        <w:rPr>
          <w:rtl/>
        </w:rPr>
        <w:t>הריטב"א</w:t>
      </w:r>
      <w:proofErr w:type="spellEnd"/>
      <w:r w:rsidRPr="004D14E5">
        <w:rPr>
          <w:rtl/>
        </w:rPr>
        <w:t xml:space="preserve"> ז"ל:</w:t>
      </w:r>
    </w:p>
    <w:p w14:paraId="1B542A25" w14:textId="7F40E9E3" w:rsidR="007950F9" w:rsidRPr="00DF27EB" w:rsidRDefault="007950F9" w:rsidP="007950F9">
      <w:pPr>
        <w:pStyle w:val="Heading4"/>
        <w:rPr>
          <w:rtl/>
        </w:rPr>
      </w:pPr>
      <w:r>
        <w:rPr>
          <w:rFonts w:hint="cs"/>
          <w:rtl/>
        </w:rPr>
        <w:t xml:space="preserve">ברכות </w:t>
      </w:r>
      <w:proofErr w:type="spellStart"/>
      <w:r>
        <w:rPr>
          <w:rFonts w:hint="cs"/>
          <w:rtl/>
        </w:rPr>
        <w:t>יט</w:t>
      </w:r>
      <w:proofErr w:type="spellEnd"/>
      <w:r>
        <w:rPr>
          <w:rFonts w:hint="cs"/>
          <w:rtl/>
        </w:rPr>
        <w:t>:</w:t>
      </w:r>
    </w:p>
    <w:p w14:paraId="1B3DE015" w14:textId="77777777" w:rsidR="00641D98" w:rsidRDefault="00641D98" w:rsidP="007950F9">
      <w:pPr>
        <w:pStyle w:val="Heading1"/>
        <w:rPr>
          <w:rtl/>
        </w:rPr>
      </w:pPr>
      <w:bookmarkStart w:id="4" w:name="_Toc494218152"/>
      <w:r>
        <w:rPr>
          <w:rFonts w:hint="cs"/>
          <w:rtl/>
        </w:rPr>
        <w:t xml:space="preserve">נפל, </w:t>
      </w:r>
      <w:r w:rsidRPr="4E0395DB">
        <w:rPr>
          <w:rtl/>
        </w:rPr>
        <w:t>תינוק בן יומו</w:t>
      </w:r>
      <w:r>
        <w:rPr>
          <w:rFonts w:hint="cs"/>
          <w:rtl/>
        </w:rPr>
        <w:t xml:space="preserve">, לא כלו לו </w:t>
      </w:r>
      <w:proofErr w:type="spellStart"/>
      <w:r>
        <w:rPr>
          <w:rFonts w:hint="cs"/>
          <w:rtl/>
        </w:rPr>
        <w:t>חדשיו</w:t>
      </w:r>
      <w:bookmarkEnd w:id="4"/>
      <w:proofErr w:type="spellEnd"/>
    </w:p>
    <w:p w14:paraId="2FCA38BB" w14:textId="77777777" w:rsidR="00641D98" w:rsidRDefault="00641D98" w:rsidP="00641D98">
      <w:pPr>
        <w:pStyle w:val="Heading4"/>
        <w:rPr>
          <w:rtl/>
        </w:rPr>
      </w:pPr>
      <w:r w:rsidRPr="4E0395DB">
        <w:rPr>
          <w:rtl/>
        </w:rPr>
        <w:t>שלחן ערוך אבן העזר סימן קנו סעיף ד</w:t>
      </w:r>
    </w:p>
    <w:p w14:paraId="7BEF3320" w14:textId="77777777" w:rsidR="00641D98" w:rsidRDefault="00641D98" w:rsidP="00641D98">
      <w:pPr>
        <w:rPr>
          <w:sz w:val="18"/>
          <w:szCs w:val="18"/>
        </w:rPr>
      </w:pPr>
      <w:r w:rsidRPr="4E0395DB">
        <w:rPr>
          <w:rtl/>
        </w:rPr>
        <w:t>מי שמת והניח אשתו מעובר</w:t>
      </w:r>
      <w:r>
        <w:rPr>
          <w:rtl/>
        </w:rPr>
        <w:t xml:space="preserve">ת, אם הפילה, הרי זו </w:t>
      </w:r>
      <w:proofErr w:type="spellStart"/>
      <w:r>
        <w:rPr>
          <w:rtl/>
        </w:rPr>
        <w:t>תתייבם</w:t>
      </w:r>
      <w:proofErr w:type="spellEnd"/>
      <w:r>
        <w:rPr>
          <w:rtl/>
        </w:rPr>
        <w:t xml:space="preserve">. </w:t>
      </w:r>
      <w:r w:rsidRPr="4E0395DB">
        <w:rPr>
          <w:rtl/>
        </w:rPr>
        <w:t xml:space="preserve">ואם ילדה ויצא הולד חי </w:t>
      </w:r>
      <w:proofErr w:type="spellStart"/>
      <w:r w:rsidRPr="4E0395DB">
        <w:rPr>
          <w:rtl/>
        </w:rPr>
        <w:t>לאויר</w:t>
      </w:r>
      <w:proofErr w:type="spellEnd"/>
      <w:r w:rsidRPr="4E0395DB">
        <w:rPr>
          <w:rtl/>
        </w:rPr>
        <w:t xml:space="preserve"> העולם, אפילו מת בשעה שנולד, הרי אמו פטורה מהחליצה ומן </w:t>
      </w:r>
      <w:proofErr w:type="spellStart"/>
      <w:r w:rsidRPr="4E0395DB">
        <w:rPr>
          <w:rtl/>
        </w:rPr>
        <w:t>היבום</w:t>
      </w:r>
      <w:proofErr w:type="spellEnd"/>
      <w:r w:rsidRPr="4E0395DB">
        <w:rPr>
          <w:rtl/>
        </w:rPr>
        <w:t xml:space="preserve">. אבל מדברי סופרים, עד שיודע </w:t>
      </w:r>
      <w:proofErr w:type="spellStart"/>
      <w:r w:rsidRPr="4E0395DB">
        <w:rPr>
          <w:rtl/>
        </w:rPr>
        <w:t>בודאי</w:t>
      </w:r>
      <w:proofErr w:type="spellEnd"/>
      <w:r w:rsidRPr="4E0395DB">
        <w:rPr>
          <w:rtl/>
        </w:rPr>
        <w:t xml:space="preserve"> שכלו לו </w:t>
      </w:r>
      <w:proofErr w:type="spellStart"/>
      <w:r w:rsidRPr="4E0395DB">
        <w:rPr>
          <w:rtl/>
        </w:rPr>
        <w:t>חדשיו</w:t>
      </w:r>
      <w:proofErr w:type="spellEnd"/>
      <w:r w:rsidRPr="4E0395DB">
        <w:rPr>
          <w:rtl/>
        </w:rPr>
        <w:t xml:space="preserve"> ונולד לתשעה חדשים ה גמורים. </w:t>
      </w:r>
      <w:r w:rsidRPr="4E0395DB">
        <w:rPr>
          <w:sz w:val="18"/>
          <w:szCs w:val="18"/>
          <w:rtl/>
        </w:rPr>
        <w:t xml:space="preserve">הגה: י"א </w:t>
      </w:r>
      <w:proofErr w:type="spellStart"/>
      <w:r w:rsidRPr="4E0395DB">
        <w:rPr>
          <w:sz w:val="18"/>
          <w:szCs w:val="18"/>
          <w:rtl/>
        </w:rPr>
        <w:t>דבזמן</w:t>
      </w:r>
      <w:proofErr w:type="spellEnd"/>
      <w:r w:rsidRPr="4E0395DB">
        <w:rPr>
          <w:sz w:val="18"/>
          <w:szCs w:val="18"/>
          <w:rtl/>
        </w:rPr>
        <w:t xml:space="preserve"> הזה אפילו לא נכנסה בחדש התשיעי רק יום אחד מלבד יום </w:t>
      </w:r>
      <w:proofErr w:type="spellStart"/>
      <w:r w:rsidRPr="4E0395DB">
        <w:rPr>
          <w:sz w:val="18"/>
          <w:szCs w:val="18"/>
          <w:rtl/>
        </w:rPr>
        <w:t>שנתעברה</w:t>
      </w:r>
      <w:proofErr w:type="spellEnd"/>
      <w:r w:rsidRPr="4E0395DB">
        <w:rPr>
          <w:sz w:val="18"/>
          <w:szCs w:val="18"/>
          <w:rtl/>
        </w:rPr>
        <w:t xml:space="preserve"> בו, הוי ולד קיימא. ואע"ג </w:t>
      </w:r>
      <w:proofErr w:type="spellStart"/>
      <w:r w:rsidRPr="4E0395DB">
        <w:rPr>
          <w:sz w:val="18"/>
          <w:szCs w:val="18"/>
          <w:rtl/>
        </w:rPr>
        <w:t>דאמרינן</w:t>
      </w:r>
      <w:proofErr w:type="spellEnd"/>
      <w:r w:rsidRPr="4E0395DB">
        <w:rPr>
          <w:sz w:val="18"/>
          <w:szCs w:val="18"/>
          <w:rtl/>
        </w:rPr>
        <w:t xml:space="preserve"> בגמרא יולדת לתשעה אינה יולדת למקוטעין, כבר תמהו על זה רבים שהחוש מכחיש זה, אלא שאנו </w:t>
      </w:r>
      <w:proofErr w:type="spellStart"/>
      <w:r w:rsidRPr="4E0395DB">
        <w:rPr>
          <w:sz w:val="18"/>
          <w:szCs w:val="18"/>
          <w:rtl/>
        </w:rPr>
        <w:t>צריכין</w:t>
      </w:r>
      <w:proofErr w:type="spellEnd"/>
      <w:r w:rsidRPr="4E0395DB">
        <w:rPr>
          <w:sz w:val="18"/>
          <w:szCs w:val="18"/>
          <w:rtl/>
        </w:rPr>
        <w:t xml:space="preserve"> לומר שעכשיו נשתנה </w:t>
      </w:r>
      <w:proofErr w:type="spellStart"/>
      <w:r w:rsidRPr="4E0395DB">
        <w:rPr>
          <w:sz w:val="18"/>
          <w:szCs w:val="18"/>
          <w:rtl/>
        </w:rPr>
        <w:t>הענין</w:t>
      </w:r>
      <w:proofErr w:type="spellEnd"/>
      <w:r w:rsidRPr="4E0395DB">
        <w:rPr>
          <w:sz w:val="18"/>
          <w:szCs w:val="18"/>
          <w:rtl/>
        </w:rPr>
        <w:t xml:space="preserve">, וכן הוא בכמה דברים (ב"י בשם </w:t>
      </w:r>
      <w:proofErr w:type="spellStart"/>
      <w:r w:rsidRPr="4E0395DB">
        <w:rPr>
          <w:sz w:val="18"/>
          <w:szCs w:val="18"/>
          <w:rtl/>
        </w:rPr>
        <w:t>התשב"ץ</w:t>
      </w:r>
      <w:proofErr w:type="spellEnd"/>
      <w:r w:rsidRPr="4E0395DB">
        <w:rPr>
          <w:sz w:val="18"/>
          <w:szCs w:val="18"/>
          <w:rtl/>
        </w:rPr>
        <w:t xml:space="preserve">). מיהו חדשי העיבור כל אחד שלשים יום, ולא </w:t>
      </w:r>
      <w:proofErr w:type="spellStart"/>
      <w:r w:rsidRPr="4E0395DB">
        <w:rPr>
          <w:sz w:val="18"/>
          <w:szCs w:val="18"/>
          <w:rtl/>
        </w:rPr>
        <w:t>חשבינן</w:t>
      </w:r>
      <w:proofErr w:type="spellEnd"/>
      <w:r w:rsidRPr="4E0395DB">
        <w:rPr>
          <w:sz w:val="18"/>
          <w:szCs w:val="18"/>
          <w:rtl/>
        </w:rPr>
        <w:t xml:space="preserve"> להו בסדר השנים</w:t>
      </w:r>
      <w:r w:rsidRPr="4E0395DB">
        <w:rPr>
          <w:rtl/>
        </w:rPr>
        <w:t xml:space="preserve"> </w:t>
      </w:r>
      <w:r w:rsidRPr="4E0395DB">
        <w:rPr>
          <w:sz w:val="18"/>
          <w:szCs w:val="18"/>
          <w:rtl/>
        </w:rPr>
        <w:t>(כן משמע שם)</w:t>
      </w:r>
      <w:r w:rsidRPr="4E0395DB">
        <w:rPr>
          <w:rtl/>
        </w:rPr>
        <w:t xml:space="preserve">. אבל אם לא נודע לכמה נולד, אם חיה ל' יום, </w:t>
      </w:r>
      <w:proofErr w:type="spellStart"/>
      <w:r w:rsidRPr="4E0395DB">
        <w:rPr>
          <w:rtl/>
        </w:rPr>
        <w:t>ה"ז</w:t>
      </w:r>
      <w:proofErr w:type="spellEnd"/>
      <w:r w:rsidRPr="4E0395DB">
        <w:rPr>
          <w:rtl/>
        </w:rPr>
        <w:t xml:space="preserve"> ולד קיימא ופוטר נשי אביו מהחליצה ומהייבום. </w:t>
      </w:r>
      <w:r w:rsidRPr="4E0395DB">
        <w:rPr>
          <w:sz w:val="18"/>
          <w:szCs w:val="18"/>
          <w:rtl/>
        </w:rPr>
        <w:t xml:space="preserve">(וי"א </w:t>
      </w:r>
      <w:proofErr w:type="spellStart"/>
      <w:r w:rsidRPr="4E0395DB">
        <w:rPr>
          <w:sz w:val="18"/>
          <w:szCs w:val="18"/>
          <w:rtl/>
        </w:rPr>
        <w:t>דוקא</w:t>
      </w:r>
      <w:proofErr w:type="spellEnd"/>
      <w:r w:rsidRPr="4E0395DB">
        <w:rPr>
          <w:sz w:val="18"/>
          <w:szCs w:val="18"/>
          <w:rtl/>
        </w:rPr>
        <w:t xml:space="preserve"> שגמרו שעריו </w:t>
      </w:r>
      <w:proofErr w:type="spellStart"/>
      <w:r w:rsidRPr="4E0395DB">
        <w:rPr>
          <w:sz w:val="18"/>
          <w:szCs w:val="18"/>
          <w:rtl/>
        </w:rPr>
        <w:t>וצפרניו</w:t>
      </w:r>
      <w:proofErr w:type="spellEnd"/>
      <w:r w:rsidRPr="4E0395DB">
        <w:rPr>
          <w:sz w:val="18"/>
          <w:szCs w:val="18"/>
          <w:rtl/>
        </w:rPr>
        <w:t xml:space="preserve"> (טור), וכן נ"ל)</w:t>
      </w:r>
      <w:r w:rsidRPr="4E0395DB">
        <w:rPr>
          <w:rtl/>
        </w:rPr>
        <w:t xml:space="preserve">. ואם מת בתוך שלשים, אפילו ביום </w:t>
      </w:r>
      <w:proofErr w:type="spellStart"/>
      <w:r w:rsidRPr="4E0395DB">
        <w:rPr>
          <w:rtl/>
        </w:rPr>
        <w:t>השלשים</w:t>
      </w:r>
      <w:proofErr w:type="spellEnd"/>
      <w:r w:rsidRPr="4E0395DB">
        <w:rPr>
          <w:rtl/>
        </w:rPr>
        <w:t xml:space="preserve">, בין שמת מחולי בין שנפל מהגג או אכלו ארי, הרי זו ספק נפל ספק בן קיימא, וצריכה חליצה מדברי סופרים, אבל לא </w:t>
      </w:r>
      <w:proofErr w:type="spellStart"/>
      <w:r w:rsidRPr="4E0395DB">
        <w:rPr>
          <w:rtl/>
        </w:rPr>
        <w:t>תתייבם</w:t>
      </w:r>
      <w:proofErr w:type="spellEnd"/>
      <w:r w:rsidRPr="4E0395DB">
        <w:rPr>
          <w:rtl/>
        </w:rPr>
        <w:t xml:space="preserve">. </w:t>
      </w:r>
      <w:r w:rsidRPr="4E0395DB">
        <w:rPr>
          <w:sz w:val="18"/>
          <w:szCs w:val="18"/>
          <w:rtl/>
        </w:rPr>
        <w:t xml:space="preserve">(וי"א </w:t>
      </w:r>
      <w:proofErr w:type="spellStart"/>
      <w:r w:rsidRPr="4E0395DB">
        <w:rPr>
          <w:sz w:val="18"/>
          <w:szCs w:val="18"/>
          <w:rtl/>
        </w:rPr>
        <w:t>דאפילו</w:t>
      </w:r>
      <w:proofErr w:type="spellEnd"/>
      <w:r w:rsidRPr="4E0395DB">
        <w:rPr>
          <w:sz w:val="18"/>
          <w:szCs w:val="18"/>
          <w:rtl/>
        </w:rPr>
        <w:t xml:space="preserve"> אם נולד מת, ואפילו אם יש להסתפק שכלו </w:t>
      </w:r>
      <w:proofErr w:type="spellStart"/>
      <w:r w:rsidRPr="4E0395DB">
        <w:rPr>
          <w:sz w:val="18"/>
          <w:szCs w:val="18"/>
          <w:rtl/>
        </w:rPr>
        <w:t>חדשיו</w:t>
      </w:r>
      <w:proofErr w:type="spellEnd"/>
      <w:r w:rsidRPr="4E0395DB">
        <w:rPr>
          <w:sz w:val="18"/>
          <w:szCs w:val="18"/>
          <w:rtl/>
        </w:rPr>
        <w:t xml:space="preserve">, חולצת ולא </w:t>
      </w:r>
      <w:proofErr w:type="spellStart"/>
      <w:r w:rsidRPr="4E0395DB">
        <w:rPr>
          <w:sz w:val="18"/>
          <w:szCs w:val="18"/>
          <w:rtl/>
        </w:rPr>
        <w:t>מתייבמת</w:t>
      </w:r>
      <w:proofErr w:type="spellEnd"/>
      <w:r w:rsidRPr="4E0395DB">
        <w:rPr>
          <w:sz w:val="18"/>
          <w:szCs w:val="18"/>
          <w:rtl/>
        </w:rPr>
        <w:t xml:space="preserve">) (טור בשם </w:t>
      </w:r>
      <w:proofErr w:type="spellStart"/>
      <w:r w:rsidRPr="4E0395DB">
        <w:rPr>
          <w:sz w:val="18"/>
          <w:szCs w:val="18"/>
          <w:rtl/>
        </w:rPr>
        <w:t>הרי"ף</w:t>
      </w:r>
      <w:proofErr w:type="spellEnd"/>
      <w:r>
        <w:rPr>
          <w:rFonts w:hint="cs"/>
          <w:sz w:val="18"/>
          <w:szCs w:val="18"/>
          <w:rtl/>
        </w:rPr>
        <w:t>).</w:t>
      </w:r>
    </w:p>
    <w:p w14:paraId="2289409F" w14:textId="77777777" w:rsidR="00641D98" w:rsidRDefault="00641D98" w:rsidP="00641D98">
      <w:pPr>
        <w:pStyle w:val="Heading4"/>
        <w:rPr>
          <w:rtl/>
        </w:rPr>
      </w:pPr>
      <w:r w:rsidRPr="4E0395DB">
        <w:rPr>
          <w:rtl/>
        </w:rPr>
        <w:t xml:space="preserve">שלחן ערוך יורה דעה </w:t>
      </w:r>
      <w:proofErr w:type="spellStart"/>
      <w:r w:rsidRPr="4E0395DB">
        <w:rPr>
          <w:rtl/>
        </w:rPr>
        <w:t>שמ:ל</w:t>
      </w:r>
      <w:proofErr w:type="spellEnd"/>
    </w:p>
    <w:p w14:paraId="0680E01E" w14:textId="77777777" w:rsidR="00641D98" w:rsidRDefault="00641D98" w:rsidP="00641D98">
      <w:r w:rsidRPr="4E0395DB">
        <w:rPr>
          <w:rtl/>
        </w:rPr>
        <w:t xml:space="preserve">קטן דלא קים לן ביה שכלו לו </w:t>
      </w:r>
      <w:proofErr w:type="spellStart"/>
      <w:r w:rsidRPr="4E0395DB">
        <w:rPr>
          <w:rtl/>
        </w:rPr>
        <w:t>חדשיו</w:t>
      </w:r>
      <w:proofErr w:type="spellEnd"/>
      <w:r w:rsidRPr="4E0395DB">
        <w:rPr>
          <w:rtl/>
        </w:rPr>
        <w:t xml:space="preserve">, שמת בתוך ל' או אפילו ביום שלשים, אין </w:t>
      </w:r>
      <w:proofErr w:type="spellStart"/>
      <w:r w:rsidRPr="4E0395DB">
        <w:rPr>
          <w:rtl/>
        </w:rPr>
        <w:t>קורעין</w:t>
      </w:r>
      <w:proofErr w:type="spellEnd"/>
      <w:r w:rsidRPr="4E0395DB">
        <w:rPr>
          <w:rtl/>
        </w:rPr>
        <w:t xml:space="preserve"> עליו</w:t>
      </w:r>
      <w:r w:rsidRPr="4E0395DB">
        <w:t>.</w:t>
      </w:r>
    </w:p>
    <w:p w14:paraId="192295E6" w14:textId="77777777" w:rsidR="00641D98" w:rsidRDefault="00641D98" w:rsidP="00641D98">
      <w:pPr>
        <w:pStyle w:val="Heading4"/>
        <w:rPr>
          <w:rtl/>
        </w:rPr>
      </w:pPr>
      <w:r w:rsidRPr="4E0395DB">
        <w:rPr>
          <w:rtl/>
        </w:rPr>
        <w:t xml:space="preserve">שלחן ערוך יורה דעה </w:t>
      </w:r>
      <w:proofErr w:type="spellStart"/>
      <w:r w:rsidRPr="4E0395DB">
        <w:rPr>
          <w:rtl/>
        </w:rPr>
        <w:t>שעג:ד</w:t>
      </w:r>
      <w:proofErr w:type="spellEnd"/>
    </w:p>
    <w:p w14:paraId="5EDD5878" w14:textId="77777777" w:rsidR="00641D98" w:rsidRDefault="00641D98" w:rsidP="00641D98">
      <w:pPr>
        <w:rPr>
          <w:rtl/>
        </w:rPr>
      </w:pPr>
      <w:r w:rsidRPr="4E0395DB">
        <w:rPr>
          <w:rtl/>
        </w:rPr>
        <w:t xml:space="preserve">אלו הם הקרובים שמיטמא להם: אשתו נשואה שהיא כשרה... ולבנו ולבתו דקים ליה שכלו לו </w:t>
      </w:r>
      <w:proofErr w:type="spellStart"/>
      <w:r w:rsidRPr="4E0395DB">
        <w:rPr>
          <w:rtl/>
        </w:rPr>
        <w:t>חדשיו</w:t>
      </w:r>
      <w:proofErr w:type="spellEnd"/>
      <w:r w:rsidRPr="4E0395DB">
        <w:rPr>
          <w:rtl/>
        </w:rPr>
        <w:t>, או שהם משלשים יום ואילך, אפילו הם פסולים</w:t>
      </w:r>
    </w:p>
    <w:p w14:paraId="6C97CB1C" w14:textId="77777777" w:rsidR="00641D98" w:rsidRDefault="00641D98" w:rsidP="00641D98">
      <w:pPr>
        <w:pStyle w:val="Heading4"/>
        <w:rPr>
          <w:rtl/>
        </w:rPr>
      </w:pPr>
      <w:r w:rsidRPr="4E0395DB">
        <w:rPr>
          <w:rtl/>
        </w:rPr>
        <w:t xml:space="preserve">שלחן ערוך יורה דעה </w:t>
      </w:r>
      <w:proofErr w:type="spellStart"/>
      <w:r w:rsidRPr="4E0395DB">
        <w:rPr>
          <w:rtl/>
        </w:rPr>
        <w:t>שעד:ח</w:t>
      </w:r>
      <w:proofErr w:type="spellEnd"/>
    </w:p>
    <w:p w14:paraId="1657D102" w14:textId="77777777" w:rsidR="00641D98" w:rsidRDefault="00641D98" w:rsidP="00641D98">
      <w:pPr>
        <w:rPr>
          <w:sz w:val="18"/>
          <w:szCs w:val="18"/>
          <w:rtl/>
        </w:rPr>
      </w:pPr>
      <w:r w:rsidRPr="4E0395DB">
        <w:rPr>
          <w:rtl/>
        </w:rPr>
        <w:t xml:space="preserve">תינוק, כל שלשים יום ויום שלשים בכלל, אין מתאבלים עליו, אפילו גמרו שערו </w:t>
      </w:r>
      <w:proofErr w:type="spellStart"/>
      <w:r w:rsidRPr="4E0395DB">
        <w:rPr>
          <w:rtl/>
        </w:rPr>
        <w:t>וצפרניו</w:t>
      </w:r>
      <w:proofErr w:type="spellEnd"/>
      <w:r w:rsidRPr="4E0395DB">
        <w:rPr>
          <w:rtl/>
        </w:rPr>
        <w:t xml:space="preserve">; ומשם ואילך מתאבל עליו, אלא אם כן נודע שהוא בן ח'. ואי קים ליה ביה שכלו לו </w:t>
      </w:r>
      <w:proofErr w:type="spellStart"/>
      <w:r w:rsidRPr="4E0395DB">
        <w:rPr>
          <w:rtl/>
        </w:rPr>
        <w:t>חדשיו</w:t>
      </w:r>
      <w:proofErr w:type="spellEnd"/>
      <w:r w:rsidRPr="4E0395DB">
        <w:rPr>
          <w:rtl/>
        </w:rPr>
        <w:t xml:space="preserve">, כגון שבעל ופירש ונולד חי לט' חדשים גמורים, אפילו מת ביום שנולד, מתאבלים עליו. </w:t>
      </w:r>
      <w:r w:rsidRPr="4E0395DB">
        <w:rPr>
          <w:sz w:val="18"/>
          <w:szCs w:val="18"/>
          <w:rtl/>
        </w:rPr>
        <w:t xml:space="preserve">(ספק בן ט' לראשון (או) ובן ז' לאחרון, שניהם מתאבלים עליו) (מרדכי הלכות אבלות והגהות </w:t>
      </w:r>
      <w:proofErr w:type="spellStart"/>
      <w:r w:rsidRPr="4E0395DB">
        <w:rPr>
          <w:sz w:val="18"/>
          <w:szCs w:val="18"/>
          <w:rtl/>
        </w:rPr>
        <w:t>מיימוני</w:t>
      </w:r>
      <w:proofErr w:type="spellEnd"/>
      <w:r w:rsidRPr="4E0395DB">
        <w:rPr>
          <w:sz w:val="18"/>
          <w:szCs w:val="18"/>
          <w:rtl/>
        </w:rPr>
        <w:t xml:space="preserve"> פ"א וב"י בשם התוספות</w:t>
      </w:r>
      <w:r w:rsidRPr="4E0395DB">
        <w:rPr>
          <w:sz w:val="18"/>
          <w:szCs w:val="18"/>
        </w:rPr>
        <w:t>).</w:t>
      </w:r>
    </w:p>
    <w:p w14:paraId="41F9F97E" w14:textId="77777777" w:rsidR="00641D98" w:rsidRDefault="00641D98" w:rsidP="00641D98">
      <w:pPr>
        <w:pStyle w:val="Heading4"/>
        <w:rPr>
          <w:rtl/>
        </w:rPr>
      </w:pPr>
      <w:r w:rsidRPr="4E0395DB">
        <w:rPr>
          <w:rtl/>
        </w:rPr>
        <w:t xml:space="preserve">שלחן ערוך יורה דעה </w:t>
      </w:r>
      <w:proofErr w:type="spellStart"/>
      <w:r w:rsidRPr="4E0395DB">
        <w:rPr>
          <w:rtl/>
        </w:rPr>
        <w:t>שעח:ו</w:t>
      </w:r>
      <w:proofErr w:type="spellEnd"/>
    </w:p>
    <w:p w14:paraId="2DE5205B" w14:textId="77777777" w:rsidR="00641D98" w:rsidRDefault="00641D98" w:rsidP="00641D98">
      <w:r w:rsidRPr="4E0395DB">
        <w:rPr>
          <w:rtl/>
        </w:rPr>
        <w:t xml:space="preserve">אין </w:t>
      </w:r>
      <w:proofErr w:type="spellStart"/>
      <w:r w:rsidRPr="4E0395DB">
        <w:rPr>
          <w:rtl/>
        </w:rPr>
        <w:t>מברין</w:t>
      </w:r>
      <w:proofErr w:type="spellEnd"/>
      <w:r w:rsidRPr="4E0395DB">
        <w:rPr>
          <w:rtl/>
        </w:rPr>
        <w:t xml:space="preserve"> על הקטן אא"כ הוא בן שלשים יום שלימים, או קים ליה ביה שכלו לו </w:t>
      </w:r>
      <w:proofErr w:type="spellStart"/>
      <w:r w:rsidRPr="4E0395DB">
        <w:rPr>
          <w:rtl/>
        </w:rPr>
        <w:t>חדשיו</w:t>
      </w:r>
      <w:proofErr w:type="spellEnd"/>
      <w:r w:rsidRPr="4E0395DB">
        <w:t>.</w:t>
      </w:r>
    </w:p>
    <w:p w14:paraId="767CCC27" w14:textId="4C8E2981" w:rsidR="000C25FD" w:rsidRPr="009F4441" w:rsidRDefault="00641D98" w:rsidP="00641D98">
      <w:pPr>
        <w:pStyle w:val="Heading4"/>
      </w:pPr>
      <w:r w:rsidRPr="4E0395DB">
        <w:rPr>
          <w:rtl/>
        </w:rPr>
        <w:t xml:space="preserve">שו"ת אבני נזר חלק אבן העזר סימן </w:t>
      </w:r>
      <w:proofErr w:type="spellStart"/>
      <w:r w:rsidRPr="4E0395DB">
        <w:rPr>
          <w:rtl/>
        </w:rPr>
        <w:t>רו</w:t>
      </w:r>
      <w:proofErr w:type="spellEnd"/>
    </w:p>
    <w:sectPr w:rsidR="000C25FD" w:rsidRPr="009F444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F28C6" w14:textId="77777777" w:rsidR="006D34BC" w:rsidRDefault="006D34BC" w:rsidP="009F4441">
      <w:pPr>
        <w:spacing w:after="0" w:line="240" w:lineRule="auto"/>
      </w:pPr>
      <w:r>
        <w:separator/>
      </w:r>
    </w:p>
  </w:endnote>
  <w:endnote w:type="continuationSeparator" w:id="0">
    <w:p w14:paraId="468E3ECC" w14:textId="77777777" w:rsidR="006D34BC" w:rsidRDefault="006D34BC"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1ED52" w14:textId="77777777" w:rsidR="00C47AA7" w:rsidRDefault="00C47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6C48E" w14:textId="77777777" w:rsidR="00C47AA7" w:rsidRDefault="00C47AA7">
    <w:pPr>
      <w:pStyle w:val="Footer"/>
    </w:pPr>
    <w:r>
      <w:rPr>
        <w:rFonts w:hint="cs"/>
        <w:rtl/>
      </w:rPr>
      <w:t>הוכן על ידי התלמידים</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3B9B2" w14:textId="77777777" w:rsidR="00C47AA7" w:rsidRDefault="00C47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492B9" w14:textId="77777777" w:rsidR="006D34BC" w:rsidRDefault="006D34BC" w:rsidP="009F4441">
      <w:pPr>
        <w:spacing w:after="0" w:line="240" w:lineRule="auto"/>
      </w:pPr>
      <w:r>
        <w:separator/>
      </w:r>
    </w:p>
  </w:footnote>
  <w:footnote w:type="continuationSeparator" w:id="0">
    <w:p w14:paraId="38DF7008" w14:textId="77777777" w:rsidR="006D34BC" w:rsidRDefault="006D34BC"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99F74" w14:textId="77777777" w:rsidR="00C47AA7" w:rsidRDefault="00C47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4A10" w14:textId="616A7DDC" w:rsidR="009F4441" w:rsidRPr="009F4441" w:rsidRDefault="009F4441" w:rsidP="009F4441">
    <w:pPr>
      <w:jc w:val="center"/>
    </w:pPr>
    <w:r w:rsidRPr="00C52284">
      <w:rPr>
        <w:rtl/>
      </w:rPr>
      <w:t>הרב צבי שכטר</w:t>
    </w:r>
    <w:r w:rsidRPr="00C52284">
      <w:tab/>
    </w:r>
    <w:r w:rsidRPr="00C52284">
      <w:rPr>
        <w:rtl/>
      </w:rPr>
      <w:tab/>
    </w:r>
    <w:r w:rsidRPr="00C52284">
      <w:tab/>
    </w:r>
    <w:r w:rsidRPr="00C52284">
      <w:rPr>
        <w:rtl/>
      </w:rPr>
      <w:tab/>
      <w:t xml:space="preserve">   ‏</w:t>
    </w:r>
    <w:r>
      <w:rPr>
        <w:rFonts w:hint="cs"/>
        <w:rtl/>
      </w:rPr>
      <w:t>‏</w:t>
    </w:r>
    <w:r>
      <w:rPr>
        <w:rtl/>
      </w:rPr>
      <w:fldChar w:fldCharType="begin"/>
    </w:r>
    <w:r>
      <w:rPr>
        <w:rtl/>
      </w:rPr>
      <w:instrText xml:space="preserve"> </w:instrText>
    </w:r>
    <w:r>
      <w:rPr>
        <w:rFonts w:hint="cs"/>
      </w:rPr>
      <w:instrText>DATE</w:instrText>
    </w:r>
    <w:r>
      <w:rPr>
        <w:rFonts w:hint="cs"/>
        <w:rtl/>
      </w:rPr>
      <w:instrText xml:space="preserve"> \@ "</w:instrText>
    </w:r>
    <w:r>
      <w:rPr>
        <w:rFonts w:hint="cs"/>
      </w:rPr>
      <w:instrText>dd MMMM yyyy" \h</w:instrText>
    </w:r>
    <w:r>
      <w:rPr>
        <w:rtl/>
      </w:rPr>
      <w:instrText xml:space="preserve"> </w:instrText>
    </w:r>
    <w:r>
      <w:rPr>
        <w:rtl/>
      </w:rPr>
      <w:fldChar w:fldCharType="separate"/>
    </w:r>
    <w:r w:rsidR="00641D98">
      <w:rPr>
        <w:noProof/>
        <w:rtl/>
      </w:rPr>
      <w:t>‏ו' תשרי תשע"ח</w:t>
    </w:r>
    <w:r>
      <w:rPr>
        <w:rtl/>
      </w:rPr>
      <w:fldChar w:fldCharType="end"/>
    </w:r>
    <w:r w:rsidR="00C47AA7">
      <w:rPr>
        <w:rtl/>
      </w:rPr>
      <w:tab/>
    </w:r>
    <w:r>
      <w:rPr>
        <w:rtl/>
      </w:rPr>
      <w:tab/>
    </w:r>
    <w:r w:rsidRPr="00C52284">
      <w:rPr>
        <w:rtl/>
      </w:rPr>
      <w:t xml:space="preserve"> שיעור </w:t>
    </w:r>
    <w:r>
      <w:rPr>
        <w:rFonts w:hint="cs"/>
        <w:rtl/>
      </w:rPr>
      <w:t>א' -  מסכת קידושין 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B5712" w14:textId="77777777" w:rsidR="00C47AA7" w:rsidRDefault="00C47A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4BC"/>
    <w:rsid w:val="000B4AE2"/>
    <w:rsid w:val="000C25FD"/>
    <w:rsid w:val="001A3E2F"/>
    <w:rsid w:val="002D7162"/>
    <w:rsid w:val="00641D98"/>
    <w:rsid w:val="006D34BC"/>
    <w:rsid w:val="007950F9"/>
    <w:rsid w:val="009F4441"/>
    <w:rsid w:val="00C47AA7"/>
    <w:rsid w:val="00F50E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3A920"/>
  <w15:chartTrackingRefBased/>
  <w15:docId w15:val="{2C46BFEE-F5EF-4558-97F2-F3E742CF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4BC"/>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4BC"/>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6D34BC"/>
    <w:rPr>
      <w:rFonts w:ascii="Narkisim" w:hAnsi="Narkisim" w:cs="Narkisim"/>
      <w:color w:val="000080"/>
      <w:sz w:val="28"/>
      <w:szCs w:val="28"/>
    </w:rPr>
  </w:style>
  <w:style w:type="character" w:styleId="Hyperlink">
    <w:name w:val="Hyperlink"/>
    <w:basedOn w:val="DefaultParagraphFont"/>
    <w:uiPriority w:val="99"/>
    <w:unhideWhenUsed/>
    <w:rsid w:val="007950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banut.co.il/show_item.asp?levelId=60397&amp;itemId=220&amp;itemType=0"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32</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6</cp:revision>
  <dcterms:created xsi:type="dcterms:W3CDTF">2017-09-26T16:34:00Z</dcterms:created>
  <dcterms:modified xsi:type="dcterms:W3CDTF">2017-09-26T17:10:00Z</dcterms:modified>
</cp:coreProperties>
</file>