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EC5FE"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59E8C33" w14:textId="271D8266" w:rsidR="009F4441" w:rsidRDefault="0090041E" w:rsidP="009F4441">
      <w:pPr>
        <w:pStyle w:val="Subtitle"/>
        <w:rPr>
          <w:rtl/>
        </w:rPr>
      </w:pPr>
      <w:r>
        <w:rPr>
          <w:rFonts w:hint="cs"/>
          <w:rtl/>
        </w:rPr>
        <w:t xml:space="preserve">שנים מקרא, </w:t>
      </w:r>
      <w:r w:rsidR="00EE001E">
        <w:rPr>
          <w:rFonts w:hint="cs"/>
          <w:rtl/>
        </w:rPr>
        <w:t>כיבוש יחיד</w:t>
      </w:r>
      <w:r w:rsidR="00EE001E">
        <w:rPr>
          <w:rtl/>
        </w:rPr>
        <w:br/>
      </w:r>
      <w:r>
        <w:rPr>
          <w:rFonts w:hint="cs"/>
          <w:rtl/>
        </w:rPr>
        <w:t>זמן קריאת שמע</w:t>
      </w:r>
      <w:r w:rsidR="00EE001E">
        <w:rPr>
          <w:rFonts w:hint="cs"/>
          <w:rtl/>
        </w:rPr>
        <w:t>, אכילת ערב יום הכיפורים</w:t>
      </w:r>
    </w:p>
    <w:p w14:paraId="7E753BCB" w14:textId="07D1FCF3" w:rsidR="009F4441" w:rsidRDefault="003C22B5" w:rsidP="009F4441">
      <w:pPr>
        <w:pStyle w:val="Heading1"/>
        <w:rPr>
          <w:rtl/>
        </w:rPr>
      </w:pPr>
      <w:r>
        <w:rPr>
          <w:rFonts w:hint="cs"/>
          <w:rtl/>
        </w:rPr>
        <w:t xml:space="preserve">שנים מקרא ואחד תרגום </w:t>
      </w:r>
      <w:r>
        <w:rPr>
          <w:rtl/>
        </w:rPr>
        <w:t>–</w:t>
      </w:r>
      <w:r>
        <w:rPr>
          <w:rFonts w:hint="cs"/>
          <w:rtl/>
        </w:rPr>
        <w:t xml:space="preserve"> עטרות ודיבון</w:t>
      </w:r>
    </w:p>
    <w:p w14:paraId="7283CE95" w14:textId="20D49158" w:rsidR="009F4441" w:rsidRDefault="003C22B5" w:rsidP="009F4441">
      <w:pPr>
        <w:pStyle w:val="Heading2"/>
        <w:rPr>
          <w:rtl/>
        </w:rPr>
      </w:pPr>
      <w:r>
        <w:rPr>
          <w:rFonts w:hint="cs"/>
          <w:rtl/>
        </w:rPr>
        <w:t>דברי נועם להגר"א ברכות ח: ד"ה ואפילו עטרות ודיבון</w:t>
      </w:r>
      <w:r w:rsidR="00EE001E">
        <w:rPr>
          <w:rFonts w:hint="cs"/>
          <w:rtl/>
        </w:rPr>
        <w:t xml:space="preserve"> </w:t>
      </w:r>
      <w:r w:rsidR="00EE001E" w:rsidRPr="00EE001E">
        <w:rPr>
          <w:rFonts w:hint="cs"/>
          <w:sz w:val="22"/>
          <w:szCs w:val="22"/>
          <w:rtl/>
        </w:rPr>
        <w:t>(</w:t>
      </w:r>
      <w:hyperlink r:id="rId6" w:history="1">
        <w:r w:rsidR="00EE001E" w:rsidRPr="00EE001E">
          <w:rPr>
            <w:rStyle w:val="Hyperlink"/>
            <w:rFonts w:hint="cs"/>
            <w:sz w:val="22"/>
            <w:szCs w:val="22"/>
            <w:rtl/>
          </w:rPr>
          <w:t>קישור</w:t>
        </w:r>
      </w:hyperlink>
      <w:r w:rsidR="00EE001E" w:rsidRPr="00EE001E">
        <w:rPr>
          <w:rFonts w:hint="cs"/>
          <w:sz w:val="22"/>
          <w:szCs w:val="22"/>
          <w:rtl/>
        </w:rPr>
        <w:t>)</w:t>
      </w:r>
    </w:p>
    <w:p w14:paraId="45992370" w14:textId="6BB4F44D" w:rsidR="009F4441" w:rsidRDefault="003C22B5" w:rsidP="009F4441">
      <w:pPr>
        <w:rPr>
          <w:rtl/>
        </w:rPr>
      </w:pPr>
      <w:r w:rsidRPr="003C22B5">
        <w:drawing>
          <wp:inline distT="0" distB="0" distL="0" distR="0" wp14:anchorId="322BE4AC" wp14:editId="63DBB3A0">
            <wp:extent cx="2929304" cy="1711774"/>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4025" cy="1714533"/>
                    </a:xfrm>
                    <a:prstGeom prst="rect">
                      <a:avLst/>
                    </a:prstGeom>
                  </pic:spPr>
                </pic:pic>
              </a:graphicData>
            </a:graphic>
          </wp:inline>
        </w:drawing>
      </w:r>
    </w:p>
    <w:p w14:paraId="183493A2" w14:textId="4366519F" w:rsidR="00A7392B" w:rsidRDefault="00A7392B" w:rsidP="00A7392B">
      <w:pPr>
        <w:pStyle w:val="Heading1"/>
        <w:rPr>
          <w:rtl/>
        </w:rPr>
      </w:pPr>
      <w:r>
        <w:rPr>
          <w:rFonts w:hint="cs"/>
          <w:rtl/>
        </w:rPr>
        <w:t xml:space="preserve">שנים מקרא ואחד תרגום </w:t>
      </w:r>
      <w:r>
        <w:rPr>
          <w:rtl/>
        </w:rPr>
        <w:t>–</w:t>
      </w:r>
      <w:r>
        <w:rPr>
          <w:rFonts w:hint="cs"/>
          <w:rtl/>
        </w:rPr>
        <w:t xml:space="preserve"> דעת הראב"ן</w:t>
      </w:r>
    </w:p>
    <w:p w14:paraId="77217AC4" w14:textId="70A1D7DB" w:rsidR="00A7392B" w:rsidRDefault="00A7392B" w:rsidP="00A7392B">
      <w:pPr>
        <w:pStyle w:val="Heading2"/>
        <w:rPr>
          <w:rtl/>
        </w:rPr>
      </w:pPr>
      <w:r>
        <w:rPr>
          <w:rtl/>
        </w:rPr>
        <w:t>ראב"ן שאלות ותשובות (בתחילת הספר) סימן פח</w:t>
      </w:r>
    </w:p>
    <w:p w14:paraId="180D2F14" w14:textId="0BE2E665" w:rsidR="00A7392B" w:rsidRDefault="00A7392B" w:rsidP="00A7392B">
      <w:pPr>
        <w:rPr>
          <w:rtl/>
        </w:rPr>
      </w:pPr>
      <w:r>
        <w:rPr>
          <w:rtl/>
        </w:rPr>
        <w:t xml:space="preserve">לעולם ישלים אדם פרשיותיו עם הציבור ב' מקרא ואחד תרגום. נ"ל דביחיד הדר בכרך מיירי שאין לו עשרה לקרות בתורה, שצריך לכוין השעה שקורין הציבור בפרשה בבהכ"נ ויקרא גם הוא ביחיד שנים מקרא כנגד שנים הקורין בב"ה ואחד תרגום כנגד המתרגם בב"ה, שכן היה מנהגם כדתנן [מגילה כ"ג ב] הקורא בתורה לא יפחות לקרות פחות מג' פסוקים ולא יקרא למתרגם יותר מפסוק אחד, דאם כמו שפירשו רבותיי דבקריאת הפרשה בבוקר בשבת מיירי כמו שאנו רגילין, לימא לעולם יקרא אדם הפרשה בשבת שנים מקרא וכו', עם הציבור למה לי, אלא ודאי עם הציבור ממש כדפרישית, ועוד שנים מקרא וכו' למה לי הלא ישמעו בב"ה ויצאו ידי חובתן. ואעפ"כ מנהגינו מנהג גמור, דזימנין דלא מצי מכוין דעתיה בב"ה לכל הפרשה ויצא בקריאה שקרא כבר.    </w:t>
      </w:r>
    </w:p>
    <w:p w14:paraId="614C0CE3" w14:textId="2C20D50F" w:rsidR="00FF4F0D" w:rsidRDefault="00A7392B" w:rsidP="00FF4F0D">
      <w:pPr>
        <w:pStyle w:val="Heading2"/>
        <w:rPr>
          <w:rtl/>
        </w:rPr>
      </w:pPr>
      <w:r>
        <w:rPr>
          <w:rFonts w:hint="cs"/>
          <w:rtl/>
        </w:rPr>
        <w:t>תוספות</w:t>
      </w:r>
      <w:r w:rsidR="00FF4F0D">
        <w:rPr>
          <w:rFonts w:hint="cs"/>
          <w:rtl/>
        </w:rPr>
        <w:t xml:space="preserve"> בבא בתרא טו. ד"ה </w:t>
      </w:r>
      <w:r w:rsidR="00FF4F0D">
        <w:rPr>
          <w:rtl/>
        </w:rPr>
        <w:t>שמונה פסוקים שבתורה</w:t>
      </w:r>
    </w:p>
    <w:p w14:paraId="3AF38705" w14:textId="3D898F52" w:rsidR="00FF4F0D" w:rsidRPr="00FF4F0D" w:rsidRDefault="00FF4F0D" w:rsidP="00FF4F0D">
      <w:r w:rsidRPr="00FF4F0D">
        <w:rPr>
          <w:rtl/>
        </w:rPr>
        <w:t>ה"ר משולם היה מצריך מכאן לקרות לאחד אותן ח' פסוקים שלא יקרא עמו שליח צבור ואין נראה לר"ת דהא כל התורה כולה נמי אחד קורא כדתנן במגילה (דף כא:) קראוה שנים יצאו ואמר בגמ' תנא מה שאין כן בתורה ואומר ר"ת דיחיד קורא בלא הפסקה שלא יקראו שנים זה ד' פסוקים וזה ד' ומה שנוהגים עתה לקרוא שנים [בכל התורה] אומר ר"ת כדי שלא יתבייש מי שאינו יודע לקרות בעצמו כענין שמצינו במסכת ביכורים (פ"ג מ"ז) דתנן כל מי שיודע לקרות קורא בעצמו ושאינו יודע לקרות מקרין לפניו נמנעו מלהביא ביכורים התקינו שיהיו מקרין את מי שיודע לקרות ואת מי שאינו יודע לקרות והא דאמר בירושלמי במגילה רבי שמואל בר רב יצחק על לבי כנישתא וחזא חזנא דקאים וקורא ולא קאי בר איניש תחתיו א"ל אסור כשם שנתנה תורה על ידי סרסור כך אנו צריכין לנהוג בה על ידי סרסור אע"ג דמשמע שחזן עומד אצל הקורא לא שיקרא עמו אלא יעמוד ויקרא אותם שיש להם לקרות כדי שתנתן תורה על ידי סרסור ועוד אומר ר"י דיכול להיות שקצת מסייע לו בנחת והא דמשמע במגילה שלא יקראו שנים היינו שניהם שוין בקול רם.</w:t>
      </w:r>
    </w:p>
    <w:p w14:paraId="4322D371" w14:textId="77777777" w:rsidR="003C22B5" w:rsidRPr="009A24AD" w:rsidRDefault="003C22B5" w:rsidP="003C22B5">
      <w:pPr>
        <w:pStyle w:val="Heading1"/>
      </w:pPr>
      <w:bookmarkStart w:id="0" w:name="_Toc488699340"/>
      <w:r>
        <w:rPr>
          <w:rFonts w:hint="cs"/>
          <w:rtl/>
        </w:rPr>
        <w:t xml:space="preserve">קדושת הארץ - </w:t>
      </w:r>
      <w:r w:rsidRPr="009A24AD">
        <w:rPr>
          <w:rtl/>
        </w:rPr>
        <w:t>כיבוש יחיד - ארצות חדשות</w:t>
      </w:r>
      <w:bookmarkEnd w:id="0"/>
    </w:p>
    <w:p w14:paraId="2A16694C" w14:textId="77777777" w:rsidR="003C22B5" w:rsidRPr="009A24AD" w:rsidRDefault="003C22B5" w:rsidP="003C22B5">
      <w:pPr>
        <w:pStyle w:val="Heading2"/>
      </w:pPr>
      <w:r w:rsidRPr="009A24AD">
        <w:rPr>
          <w:rtl/>
        </w:rPr>
        <w:t>גיטין ח</w:t>
      </w:r>
      <w:r w:rsidRPr="009A24AD">
        <w:t>.</w:t>
      </w:r>
    </w:p>
    <w:p w14:paraId="38D25AE2" w14:textId="77777777" w:rsidR="003C22B5" w:rsidRPr="009A24AD" w:rsidRDefault="003C22B5" w:rsidP="003C22B5">
      <w:pPr>
        <w:spacing w:line="256" w:lineRule="auto"/>
      </w:pPr>
      <w:r w:rsidRPr="009A24AD">
        <w:rPr>
          <w:rtl/>
        </w:rPr>
        <w:lastRenderedPageBreak/>
        <w:t>ת"ר: בשלשה דרכים שוותה סוריא לארץ ישראל, ובשלשה לחו"ל; (סימן: ע"ב ב"ר ר"ק) עפרה טמא - כחו"ל, והמוכר עבדו לסוריא - כמוכר בחו"ל, והמביא גט מסוריא - כמביא מחו"ל; ובשלשה לא"י: חייבת במעשר ובשביעי' - כא"י, והרוצה ליכנס לה בטהרה - נכנס, והקונה שדה בסוריא - כקונה בפרוארי ירושלים. חייבת במעשר ובשביעית כא"י; קסבר: כיבוש יחיד שמיה כיבוש</w:t>
      </w:r>
      <w:r w:rsidRPr="009A24AD">
        <w:t>.</w:t>
      </w:r>
    </w:p>
    <w:p w14:paraId="78F55482" w14:textId="77777777" w:rsidR="003C22B5" w:rsidRPr="009A24AD" w:rsidRDefault="003C22B5" w:rsidP="003C22B5">
      <w:pPr>
        <w:pStyle w:val="Heading2"/>
      </w:pPr>
      <w:r w:rsidRPr="009A24AD">
        <w:rPr>
          <w:rtl/>
        </w:rPr>
        <w:t>רמב"ם הלכות תרומות א:ג - ה</w:t>
      </w:r>
    </w:p>
    <w:p w14:paraId="76B7F935" w14:textId="77777777" w:rsidR="003C22B5" w:rsidRPr="009A24AD" w:rsidRDefault="003C22B5" w:rsidP="003C22B5">
      <w:pPr>
        <w:spacing w:line="256" w:lineRule="auto"/>
      </w:pPr>
      <w:r w:rsidRPr="009A24AD">
        <w:rPr>
          <w:rtl/>
          <w:lang w:val="he" w:bidi="he"/>
        </w:rPr>
        <w:t>הארצות שכבש דוד חוץ לארץ כנען כגון ארם נהרים וארם צובה ואחלב וכיוצא בהן אע</w:t>
      </w:r>
      <w:r w:rsidRPr="009A24AD">
        <w:rPr>
          <w:rtl/>
          <w:lang w:val="he"/>
        </w:rPr>
        <w:t>"</w:t>
      </w:r>
      <w:r w:rsidRPr="009A24AD">
        <w:rPr>
          <w:rtl/>
          <w:lang w:val="he" w:bidi="he"/>
        </w:rPr>
        <w:t>פ שמלך ישראל הוא ועל פי בית דין  הגדול הוא עושה אינו כא</w:t>
      </w:r>
      <w:r w:rsidRPr="009A24AD">
        <w:rPr>
          <w:rtl/>
          <w:lang w:val="he"/>
        </w:rPr>
        <w:t>"</w:t>
      </w:r>
      <w:r w:rsidRPr="009A24AD">
        <w:rPr>
          <w:rtl/>
          <w:lang w:val="he" w:bidi="he"/>
        </w:rPr>
        <w:t>י לכל דבר ולא כחוצה לארץ לכל דבר כגון בבל ומצרים</w:t>
      </w:r>
      <w:r w:rsidRPr="009A24AD">
        <w:rPr>
          <w:rtl/>
          <w:lang w:val="he"/>
        </w:rPr>
        <w:t xml:space="preserve">, </w:t>
      </w:r>
      <w:r w:rsidRPr="009A24AD">
        <w:rPr>
          <w:rtl/>
          <w:lang w:val="he" w:bidi="he"/>
        </w:rPr>
        <w:t>אלא יצאו מכלל חוצה לארץ ולהיותן כא</w:t>
      </w:r>
      <w:r w:rsidRPr="009A24AD">
        <w:rPr>
          <w:rtl/>
          <w:lang w:val="he"/>
        </w:rPr>
        <w:t>"</w:t>
      </w:r>
      <w:r w:rsidRPr="009A24AD">
        <w:rPr>
          <w:rtl/>
          <w:lang w:val="he" w:bidi="he"/>
        </w:rPr>
        <w:t>י לא הגיעו</w:t>
      </w:r>
      <w:r w:rsidRPr="009A24AD">
        <w:rPr>
          <w:rtl/>
          <w:lang w:val="he"/>
        </w:rPr>
        <w:t xml:space="preserve">, </w:t>
      </w:r>
      <w:r w:rsidRPr="009A24AD">
        <w:rPr>
          <w:rtl/>
          <w:lang w:val="he" w:bidi="he"/>
        </w:rPr>
        <w:t>ומפני מה ירדו ממעלת א</w:t>
      </w:r>
      <w:r w:rsidRPr="009A24AD">
        <w:rPr>
          <w:rtl/>
          <w:lang w:val="he"/>
        </w:rPr>
        <w:t>"</w:t>
      </w:r>
      <w:r w:rsidRPr="009A24AD">
        <w:rPr>
          <w:rtl/>
          <w:lang w:val="he" w:bidi="he"/>
        </w:rPr>
        <w:t>י מפני שכבש אותם קודם שיכבוש כל א</w:t>
      </w:r>
      <w:r w:rsidRPr="009A24AD">
        <w:rPr>
          <w:rtl/>
          <w:lang w:val="he"/>
        </w:rPr>
        <w:t>"</w:t>
      </w:r>
      <w:r w:rsidRPr="009A24AD">
        <w:rPr>
          <w:rtl/>
          <w:lang w:val="he" w:bidi="he"/>
        </w:rPr>
        <w:t>י אלא נשאר בה משבעה עממים</w:t>
      </w:r>
      <w:r w:rsidRPr="009A24AD">
        <w:rPr>
          <w:rtl/>
          <w:lang w:val="he"/>
        </w:rPr>
        <w:t xml:space="preserve">, </w:t>
      </w:r>
      <w:r w:rsidRPr="009A24AD">
        <w:rPr>
          <w:rtl/>
          <w:lang w:val="he" w:bidi="he"/>
        </w:rPr>
        <w:t>ואילו תפס כל ארץ כנען לגבולותיה ואח</w:t>
      </w:r>
      <w:r w:rsidRPr="009A24AD">
        <w:rPr>
          <w:rtl/>
          <w:lang w:val="he"/>
        </w:rPr>
        <w:t>"</w:t>
      </w:r>
      <w:r w:rsidRPr="009A24AD">
        <w:rPr>
          <w:rtl/>
          <w:lang w:val="he" w:bidi="he"/>
        </w:rPr>
        <w:t>כ כבש ארצות אחרות היה כיבושו כולו כא</w:t>
      </w:r>
      <w:r w:rsidRPr="009A24AD">
        <w:rPr>
          <w:rtl/>
          <w:lang w:val="he"/>
        </w:rPr>
        <w:t>"</w:t>
      </w:r>
      <w:r w:rsidRPr="009A24AD">
        <w:rPr>
          <w:rtl/>
          <w:lang w:val="he" w:bidi="he"/>
        </w:rPr>
        <w:t>י לכל דבר</w:t>
      </w:r>
      <w:r w:rsidRPr="009A24AD">
        <w:rPr>
          <w:rtl/>
          <w:lang w:val="he"/>
        </w:rPr>
        <w:t xml:space="preserve">, </w:t>
      </w:r>
      <w:r w:rsidRPr="009A24AD">
        <w:rPr>
          <w:rtl/>
          <w:lang w:val="he" w:bidi="he"/>
        </w:rPr>
        <w:t xml:space="preserve">והארצות שכבש דוד הן הנקראין סוריא.  </w:t>
      </w:r>
    </w:p>
    <w:p w14:paraId="0AE05B5F" w14:textId="77777777" w:rsidR="003C22B5" w:rsidRPr="009A24AD" w:rsidRDefault="003C22B5" w:rsidP="003C22B5">
      <w:pPr>
        <w:spacing w:line="256" w:lineRule="auto"/>
      </w:pPr>
      <w:r w:rsidRPr="009A24AD">
        <w:rPr>
          <w:rtl/>
          <w:lang w:val="he" w:bidi="he"/>
        </w:rPr>
        <w:t>סוריא יש דברים שהיא בהן כא</w:t>
      </w:r>
      <w:r w:rsidRPr="009A24AD">
        <w:rPr>
          <w:rtl/>
          <w:lang w:val="he"/>
        </w:rPr>
        <w:t>"</w:t>
      </w:r>
      <w:r w:rsidRPr="009A24AD">
        <w:rPr>
          <w:rtl/>
          <w:lang w:val="he" w:bidi="he"/>
        </w:rPr>
        <w:t>י ויש דברים שהיא בהן כח</w:t>
      </w:r>
      <w:r w:rsidRPr="009A24AD">
        <w:rPr>
          <w:rtl/>
          <w:lang w:val="he"/>
        </w:rPr>
        <w:t>"</w:t>
      </w:r>
      <w:r w:rsidRPr="009A24AD">
        <w:rPr>
          <w:rtl/>
          <w:lang w:val="he" w:bidi="he"/>
        </w:rPr>
        <w:t>ל</w:t>
      </w:r>
      <w:r w:rsidRPr="009A24AD">
        <w:rPr>
          <w:rtl/>
          <w:lang w:val="he"/>
        </w:rPr>
        <w:t xml:space="preserve">, </w:t>
      </w:r>
      <w:r w:rsidRPr="009A24AD">
        <w:rPr>
          <w:rtl/>
          <w:lang w:val="he" w:bidi="he"/>
        </w:rPr>
        <w:t>והקונה בה קרקע כקונה בא</w:t>
      </w:r>
      <w:r w:rsidRPr="009A24AD">
        <w:rPr>
          <w:rtl/>
          <w:lang w:val="he"/>
        </w:rPr>
        <w:t>"</w:t>
      </w:r>
      <w:r w:rsidRPr="009A24AD">
        <w:rPr>
          <w:rtl/>
          <w:lang w:val="he" w:bidi="he"/>
        </w:rPr>
        <w:t xml:space="preserve">י לענין תרומות ומעשרות ושביעית והכל בסוריא מדברי סופרים.  </w:t>
      </w:r>
    </w:p>
    <w:p w14:paraId="5C1DFB64" w14:textId="77777777" w:rsidR="003C22B5" w:rsidRPr="009A24AD" w:rsidRDefault="003C22B5" w:rsidP="003C22B5">
      <w:pPr>
        <w:spacing w:line="256" w:lineRule="auto"/>
      </w:pPr>
      <w:r w:rsidRPr="009A24AD">
        <w:rPr>
          <w:rtl/>
          <w:lang w:val="he" w:bidi="he"/>
        </w:rPr>
        <w:t>כל שהחזיקו עולי מצרים ונתקדש קדושה ראשונה כיון שגלו בטלו קדושתן</w:t>
      </w:r>
      <w:r w:rsidRPr="009A24AD">
        <w:rPr>
          <w:rtl/>
          <w:lang w:val="he"/>
        </w:rPr>
        <w:t xml:space="preserve">, </w:t>
      </w:r>
      <w:r w:rsidRPr="009A24AD">
        <w:rPr>
          <w:rtl/>
          <w:lang w:val="he" w:bidi="he"/>
        </w:rPr>
        <w:t>שקדושה ראשונה לפי שהיתה מפני הכיבוש בלבד קדשה לשעתה ולא קדשה לעתיד לבוא</w:t>
      </w:r>
      <w:r w:rsidRPr="009A24AD">
        <w:rPr>
          <w:rtl/>
          <w:lang w:val="he"/>
        </w:rPr>
        <w:t xml:space="preserve">, </w:t>
      </w:r>
      <w:r w:rsidRPr="009A24AD">
        <w:rPr>
          <w:rtl/>
          <w:lang w:val="he" w:bidi="he"/>
        </w:rPr>
        <w:t>כיון שעלו בני הגולה והחזיקו במקצת הארץ קדשוה קדושה שנייה  העומדת לעולם לשעתה ולעתיד לבוא</w:t>
      </w:r>
      <w:r w:rsidRPr="009A24AD">
        <w:rPr>
          <w:rtl/>
          <w:lang w:val="he"/>
        </w:rPr>
        <w:t xml:space="preserve">, </w:t>
      </w:r>
      <w:r w:rsidRPr="009A24AD">
        <w:rPr>
          <w:rtl/>
          <w:lang w:val="he" w:bidi="he"/>
        </w:rPr>
        <w:t>והניחו אותם המקומות שהחזיקו בהם עולי מצרים ולא החזיקו בהם עולי בבל כשהיו ולא פטרום מן התרומה והמעשרות כדי שיסמכו עליהם עניים בשביעית</w:t>
      </w:r>
      <w:r w:rsidRPr="009A24AD">
        <w:rPr>
          <w:rtl/>
          <w:lang w:val="he"/>
        </w:rPr>
        <w:t xml:space="preserve">, </w:t>
      </w:r>
      <w:r w:rsidRPr="009A24AD">
        <w:rPr>
          <w:rtl/>
          <w:lang w:val="he" w:bidi="he"/>
        </w:rPr>
        <w:t>ורבינו הקדוש התיר בית שאן מאותם המקומות שלא החזיקו בהם עולי בבל והוא נמנה על אשקלון ופטרה מן המעשרות</w:t>
      </w:r>
      <w:r w:rsidRPr="009A24AD">
        <w:rPr>
          <w:rtl/>
          <w:lang w:val="he"/>
        </w:rPr>
        <w:t>. +/</w:t>
      </w:r>
      <w:r w:rsidRPr="009A24AD">
        <w:rPr>
          <w:rtl/>
          <w:lang w:val="he" w:bidi="he"/>
        </w:rPr>
        <w:t>השגת הראב</w:t>
      </w:r>
      <w:r w:rsidRPr="009A24AD">
        <w:rPr>
          <w:rtl/>
          <w:lang w:val="he"/>
        </w:rPr>
        <w:t>"</w:t>
      </w:r>
      <w:r w:rsidRPr="009A24AD">
        <w:rPr>
          <w:rtl/>
          <w:lang w:val="he" w:bidi="he"/>
        </w:rPr>
        <w:t>ד</w:t>
      </w:r>
      <w:r w:rsidRPr="009A24AD">
        <w:rPr>
          <w:rtl/>
          <w:lang w:val="he"/>
        </w:rPr>
        <w:t xml:space="preserve">/ </w:t>
      </w:r>
      <w:r w:rsidRPr="009A24AD">
        <w:rPr>
          <w:rtl/>
          <w:lang w:val="he" w:bidi="he"/>
        </w:rPr>
        <w:t>ורבינו הקדוש התיר בית שאן וכו</w:t>
      </w:r>
      <w:r w:rsidRPr="009A24AD">
        <w:rPr>
          <w:rtl/>
          <w:lang w:val="he"/>
        </w:rPr>
        <w:t xml:space="preserve">'. </w:t>
      </w:r>
      <w:r w:rsidRPr="009A24AD">
        <w:rPr>
          <w:rtl/>
          <w:lang w:val="he" w:bidi="he"/>
        </w:rPr>
        <w:t>א</w:t>
      </w:r>
      <w:r w:rsidRPr="009A24AD">
        <w:rPr>
          <w:rtl/>
          <w:lang w:val="he"/>
        </w:rPr>
        <w:t>"</w:t>
      </w:r>
      <w:r w:rsidRPr="009A24AD">
        <w:rPr>
          <w:rtl/>
          <w:lang w:val="he" w:bidi="he"/>
        </w:rPr>
        <w:t>א לא התיר רבי אלא מעשר ירק ופירות האילן שהן מדרבנן אף בא</w:t>
      </w:r>
      <w:r w:rsidRPr="009A24AD">
        <w:rPr>
          <w:rtl/>
          <w:lang w:val="he"/>
        </w:rPr>
        <w:t>"</w:t>
      </w:r>
      <w:r w:rsidRPr="009A24AD">
        <w:rPr>
          <w:rtl/>
          <w:lang w:val="he" w:bidi="he"/>
        </w:rPr>
        <w:t>י</w:t>
      </w:r>
      <w:r w:rsidRPr="009A24AD">
        <w:rPr>
          <w:rtl/>
          <w:lang w:val="he"/>
        </w:rPr>
        <w:t>.+</w:t>
      </w:r>
      <w:r w:rsidRPr="009A24AD">
        <w:rPr>
          <w:rtl/>
          <w:lang w:val="he" w:bidi="he"/>
        </w:rPr>
        <w:t xml:space="preserve"> </w:t>
      </w:r>
    </w:p>
    <w:p w14:paraId="054207CB" w14:textId="77777777" w:rsidR="003C22B5" w:rsidRPr="009A24AD" w:rsidRDefault="003C22B5" w:rsidP="003C22B5">
      <w:pPr>
        <w:pStyle w:val="Heading2"/>
      </w:pPr>
      <w:r w:rsidRPr="009A24AD">
        <w:rPr>
          <w:rtl/>
        </w:rPr>
        <w:t>כסף משנה שם</w:t>
      </w:r>
    </w:p>
    <w:p w14:paraId="5131AFC4" w14:textId="77777777" w:rsidR="003C22B5" w:rsidRPr="009A24AD" w:rsidRDefault="003C22B5" w:rsidP="003C22B5">
      <w:pPr>
        <w:pStyle w:val="Heading2"/>
      </w:pPr>
      <w:r w:rsidRPr="009A24AD">
        <w:rPr>
          <w:rtl/>
        </w:rPr>
        <w:t>חידוש</w:t>
      </w:r>
      <w:r>
        <w:rPr>
          <w:rFonts w:hint="cs"/>
          <w:rtl/>
        </w:rPr>
        <w:t>י</w:t>
      </w:r>
      <w:r w:rsidRPr="009A24AD">
        <w:rPr>
          <w:rtl/>
        </w:rPr>
        <w:t xml:space="preserve"> הגר"ח שם</w:t>
      </w:r>
    </w:p>
    <w:p w14:paraId="7A30D4CE" w14:textId="77777777" w:rsidR="003C22B5" w:rsidRPr="009A24AD" w:rsidRDefault="003C22B5" w:rsidP="003C22B5">
      <w:pPr>
        <w:pStyle w:val="Heading2"/>
        <w:rPr>
          <w:rtl/>
        </w:rPr>
      </w:pPr>
      <w:r w:rsidRPr="009A24AD">
        <w:rPr>
          <w:rtl/>
        </w:rPr>
        <w:t>ארץ הצבי עמ' רי</w:t>
      </w:r>
    </w:p>
    <w:p w14:paraId="1EF15C87" w14:textId="202D3AE3" w:rsidR="000C25FD" w:rsidRDefault="00EC15E5" w:rsidP="00EC15E5">
      <w:pPr>
        <w:pStyle w:val="Heading1"/>
        <w:rPr>
          <w:rtl/>
        </w:rPr>
      </w:pPr>
      <w:r>
        <w:rPr>
          <w:rFonts w:hint="cs"/>
          <w:rtl/>
        </w:rPr>
        <w:t>אכילת ערב יום הכיפורים</w:t>
      </w:r>
    </w:p>
    <w:p w14:paraId="3BF48D3F" w14:textId="73A1F21C" w:rsidR="00EC15E5" w:rsidRDefault="00EC15E5" w:rsidP="00EC15E5">
      <w:pPr>
        <w:pStyle w:val="Heading2"/>
        <w:rPr>
          <w:rtl/>
        </w:rPr>
      </w:pPr>
      <w:r>
        <w:rPr>
          <w:rFonts w:hint="cs"/>
          <w:rtl/>
        </w:rPr>
        <w:t>שו"ת רבי עקיבא איגר סימן קטז</w:t>
      </w:r>
    </w:p>
    <w:p w14:paraId="0238EA77" w14:textId="00A102C9" w:rsidR="00EC15E5" w:rsidRDefault="00EC15E5" w:rsidP="00EC15E5">
      <w:pPr>
        <w:pStyle w:val="Heading2"/>
        <w:rPr>
          <w:rtl/>
        </w:rPr>
      </w:pPr>
      <w:r>
        <w:rPr>
          <w:rFonts w:hint="cs"/>
          <w:rtl/>
        </w:rPr>
        <w:t>שאילתות שאילתא קסח</w:t>
      </w:r>
    </w:p>
    <w:p w14:paraId="5D5EDD81" w14:textId="3B73FEB7" w:rsidR="00EC15E5" w:rsidRDefault="00EC15E5" w:rsidP="00EC15E5">
      <w:pPr>
        <w:pStyle w:val="Heading2"/>
        <w:rPr>
          <w:rtl/>
        </w:rPr>
      </w:pPr>
      <w:r>
        <w:rPr>
          <w:rFonts w:hint="cs"/>
          <w:rtl/>
        </w:rPr>
        <w:t>העמק שאלה שם</w:t>
      </w:r>
    </w:p>
    <w:p w14:paraId="636F7973" w14:textId="2210F6E7" w:rsidR="00EC15E5" w:rsidRDefault="00EC15E5" w:rsidP="00EC15E5">
      <w:pPr>
        <w:pStyle w:val="Heading2"/>
        <w:rPr>
          <w:rtl/>
        </w:rPr>
      </w:pPr>
      <w:r>
        <w:rPr>
          <w:rFonts w:hint="cs"/>
          <w:rtl/>
        </w:rPr>
        <w:t>רש"י כתובות ה.</w:t>
      </w:r>
    </w:p>
    <w:p w14:paraId="7FDCC1E6" w14:textId="7F3FFC0A" w:rsidR="00EE001E" w:rsidRPr="00EE001E" w:rsidRDefault="00EE001E" w:rsidP="00EE001E">
      <w:pPr>
        <w:pStyle w:val="Heading2"/>
        <w:rPr>
          <w:rtl/>
        </w:rPr>
      </w:pPr>
      <w:r>
        <w:rPr>
          <w:rFonts w:hint="cs"/>
          <w:rtl/>
        </w:rPr>
        <w:t>שלחן ערוך אורח חיים תרד:ב</w:t>
      </w:r>
    </w:p>
    <w:p w14:paraId="23CA6398" w14:textId="3AA33FD6" w:rsidR="00EC15E5" w:rsidRDefault="00EC15E5" w:rsidP="00EC15E5">
      <w:pPr>
        <w:pStyle w:val="Heading1"/>
        <w:rPr>
          <w:rtl/>
        </w:rPr>
      </w:pPr>
      <w:r>
        <w:rPr>
          <w:rFonts w:hint="cs"/>
          <w:rtl/>
        </w:rPr>
        <w:t>ש"ר מקוצי</w:t>
      </w:r>
    </w:p>
    <w:p w14:paraId="7F1BA710" w14:textId="06039350" w:rsidR="00EC15E5" w:rsidRDefault="00EC15E5" w:rsidP="00EC15E5">
      <w:pPr>
        <w:pStyle w:val="Heading2"/>
        <w:rPr>
          <w:rtl/>
        </w:rPr>
      </w:pPr>
      <w:r w:rsidRPr="00EC15E5">
        <w:rPr>
          <w:rtl/>
        </w:rPr>
        <w:t xml:space="preserve">שם הגדולים מערכת גדולים אות ש [לה] </w:t>
      </w:r>
    </w:p>
    <w:p w14:paraId="23D4DA92" w14:textId="0E3B08DF" w:rsidR="00EC15E5" w:rsidRDefault="00EC15E5" w:rsidP="00EC15E5">
      <w:pPr>
        <w:rPr>
          <w:rtl/>
        </w:rPr>
      </w:pPr>
      <w:r w:rsidRPr="00EC15E5">
        <w:rPr>
          <w:rtl/>
        </w:rPr>
        <w:t>רש"י. מצאתי כתוב בקונטרס ישן נושן שקראוהו רש"י והוסיפו יו"ד לרמוז שם אביו ר' יצחק כדי שלא לומר ר"ש. וכן נזהרו לכתוב על רבינו שמשון הש"ר משאנץ וכן הש"ר מקוצי כדי שלא לכתוב ר"ש עכמ"ך. ואנו קבלנו דמ"ש השר מקוצי הוא על סמ"ג.</w:t>
      </w:r>
    </w:p>
    <w:p w14:paraId="09D01195" w14:textId="1FDE91EC" w:rsidR="005F010D" w:rsidRDefault="005F010D" w:rsidP="005F010D">
      <w:pPr>
        <w:pStyle w:val="Heading1"/>
        <w:rPr>
          <w:rtl/>
        </w:rPr>
      </w:pPr>
      <w:r>
        <w:rPr>
          <w:rFonts w:hint="cs"/>
          <w:rtl/>
        </w:rPr>
        <w:t>כל דבר שמצותו ביום מצותו מהנץ החמה</w:t>
      </w:r>
    </w:p>
    <w:p w14:paraId="3890C974" w14:textId="7DD7BA61" w:rsidR="005F010D" w:rsidRDefault="005F010D" w:rsidP="005F010D">
      <w:pPr>
        <w:pStyle w:val="Heading2"/>
        <w:rPr>
          <w:rtl/>
        </w:rPr>
      </w:pPr>
      <w:r>
        <w:rPr>
          <w:rFonts w:hint="cs"/>
          <w:rtl/>
        </w:rPr>
        <w:t>מגילה כ.</w:t>
      </w:r>
    </w:p>
    <w:p w14:paraId="67C8EA21" w14:textId="67902FC0" w:rsidR="005F010D" w:rsidRDefault="005F010D" w:rsidP="005F010D">
      <w:pPr>
        <w:pStyle w:val="Heading2"/>
        <w:rPr>
          <w:rtl/>
        </w:rPr>
      </w:pPr>
      <w:r>
        <w:rPr>
          <w:rFonts w:hint="cs"/>
          <w:rtl/>
        </w:rPr>
        <w:t>רש"י מגילה כ.</w:t>
      </w:r>
    </w:p>
    <w:p w14:paraId="440F1FE1" w14:textId="4F5D2FBD" w:rsidR="00831DE4" w:rsidRDefault="00831DE4" w:rsidP="00831DE4">
      <w:pPr>
        <w:pStyle w:val="Heading2"/>
        <w:rPr>
          <w:rtl/>
        </w:rPr>
      </w:pPr>
      <w:r>
        <w:rPr>
          <w:rFonts w:hint="cs"/>
          <w:rtl/>
        </w:rPr>
        <w:lastRenderedPageBreak/>
        <w:t>ביאור החרדים לירושלמי ברכות ג:-ד.</w:t>
      </w:r>
    </w:p>
    <w:p w14:paraId="44FD3B3A" w14:textId="5D151484" w:rsidR="00831DE4" w:rsidRPr="00831DE4" w:rsidRDefault="00831DE4" w:rsidP="00831DE4">
      <w:pPr>
        <w:pStyle w:val="Heading2"/>
        <w:rPr>
          <w:rtl/>
        </w:rPr>
      </w:pPr>
      <w:r>
        <w:rPr>
          <w:rFonts w:hint="cs"/>
          <w:rtl/>
        </w:rPr>
        <w:t>שדי חמד חלק ג עמ' שמז</w:t>
      </w:r>
      <w:bookmarkStart w:id="1" w:name="_GoBack"/>
      <w:bookmarkEnd w:id="1"/>
    </w:p>
    <w:p w14:paraId="2184D6DB" w14:textId="77E1C9BC" w:rsidR="005F010D" w:rsidRPr="005F010D" w:rsidRDefault="005F010D" w:rsidP="005F010D">
      <w:pPr>
        <w:pStyle w:val="Heading2"/>
        <w:rPr>
          <w:rtl/>
        </w:rPr>
      </w:pPr>
      <w:r>
        <w:rPr>
          <w:rFonts w:hint="cs"/>
          <w:rtl/>
        </w:rPr>
        <w:t>ארץ הצבי עמ' קלח</w:t>
      </w:r>
    </w:p>
    <w:p w14:paraId="782BA5D9" w14:textId="3ACE1E24" w:rsidR="00895EDB" w:rsidRDefault="00895EDB" w:rsidP="00895EDB">
      <w:pPr>
        <w:pStyle w:val="Heading1"/>
        <w:rPr>
          <w:rtl/>
        </w:rPr>
      </w:pPr>
      <w:r>
        <w:rPr>
          <w:rFonts w:hint="cs"/>
          <w:rtl/>
        </w:rPr>
        <w:t xml:space="preserve">קריאת שמע </w:t>
      </w:r>
      <w:r>
        <w:rPr>
          <w:rtl/>
        </w:rPr>
        <w:t>–</w:t>
      </w:r>
      <w:r>
        <w:rPr>
          <w:rFonts w:hint="cs"/>
          <w:rtl/>
        </w:rPr>
        <w:t xml:space="preserve"> סוף זמנה </w:t>
      </w:r>
      <w:r>
        <w:rPr>
          <w:rtl/>
        </w:rPr>
        <w:t>–</w:t>
      </w:r>
      <w:r>
        <w:rPr>
          <w:rFonts w:hint="cs"/>
          <w:rtl/>
        </w:rPr>
        <w:t xml:space="preserve"> דעת הרמב"ם</w:t>
      </w:r>
    </w:p>
    <w:p w14:paraId="10672D9D" w14:textId="42B2189B" w:rsidR="007D3580" w:rsidRDefault="007D3580" w:rsidP="007D3580">
      <w:pPr>
        <w:pStyle w:val="Heading2"/>
        <w:rPr>
          <w:rtl/>
        </w:rPr>
      </w:pPr>
      <w:r>
        <w:rPr>
          <w:rFonts w:hint="cs"/>
          <w:rtl/>
        </w:rPr>
        <w:t>רמב"ם הלכות קריאת שמע א:ט</w:t>
      </w:r>
    </w:p>
    <w:p w14:paraId="4566BFA2" w14:textId="338D5F51" w:rsidR="007D3580" w:rsidRPr="007D3580" w:rsidRDefault="007D3580" w:rsidP="007D3580">
      <w:pPr>
        <w:rPr>
          <w:rtl/>
        </w:rPr>
      </w:pPr>
      <w:r>
        <w:rPr>
          <w:rtl/>
        </w:rPr>
        <w:t>אי זהו זמן</w:t>
      </w:r>
      <w:r w:rsidRPr="007D3580">
        <w:rPr>
          <w:rtl/>
        </w:rPr>
        <w:t xml:space="preserve"> קריאת שמע בלילה מצותה משעת יציאת הכוכבים עד חצי הלי</w:t>
      </w:r>
      <w:r>
        <w:rPr>
          <w:rtl/>
        </w:rPr>
        <w:t xml:space="preserve">לה, ואם עבר ואיחר וקרא עד שלא </w:t>
      </w:r>
      <w:r w:rsidRPr="007D3580">
        <w:rPr>
          <w:rtl/>
        </w:rPr>
        <w:t>עלה עמוד השחר יצא ידי חובתו שלא אמרו עד חצות אלא כדי להרחיק אדם מן הפשיעה.</w:t>
      </w:r>
    </w:p>
    <w:p w14:paraId="7176AB09" w14:textId="53C66F03" w:rsidR="00895EDB" w:rsidRDefault="007D3580" w:rsidP="00895EDB">
      <w:pPr>
        <w:pStyle w:val="Heading2"/>
        <w:rPr>
          <w:rtl/>
        </w:rPr>
      </w:pPr>
      <w:r>
        <w:rPr>
          <w:rFonts w:hint="cs"/>
          <w:rtl/>
        </w:rPr>
        <w:t>קהלת יעקב ברכות ד</w:t>
      </w:r>
      <w:r w:rsidR="00895EDB">
        <w:rPr>
          <w:rFonts w:hint="cs"/>
          <w:rtl/>
        </w:rPr>
        <w:t xml:space="preserve">: </w:t>
      </w:r>
      <w:r w:rsidR="00895EDB" w:rsidRPr="007D3580">
        <w:rPr>
          <w:rFonts w:hint="cs"/>
          <w:sz w:val="22"/>
          <w:szCs w:val="22"/>
          <w:rtl/>
        </w:rPr>
        <w:t>(</w:t>
      </w:r>
      <w:hyperlink r:id="rId8" w:history="1">
        <w:r w:rsidR="00895EDB" w:rsidRPr="007D3580">
          <w:rPr>
            <w:rStyle w:val="Hyperlink"/>
            <w:rFonts w:hint="cs"/>
            <w:sz w:val="22"/>
            <w:szCs w:val="22"/>
            <w:rtl/>
          </w:rPr>
          <w:t>קישור</w:t>
        </w:r>
      </w:hyperlink>
      <w:r w:rsidR="00895EDB" w:rsidRPr="007D3580">
        <w:rPr>
          <w:rFonts w:hint="cs"/>
          <w:sz w:val="22"/>
          <w:szCs w:val="22"/>
          <w:rtl/>
        </w:rPr>
        <w:t>)</w:t>
      </w:r>
    </w:p>
    <w:p w14:paraId="7F9D57E5" w14:textId="1BC39CBB" w:rsidR="00895EDB" w:rsidRPr="00895EDB" w:rsidRDefault="00895EDB" w:rsidP="00895EDB">
      <w:r w:rsidRPr="00895EDB">
        <w:drawing>
          <wp:inline distT="0" distB="0" distL="0" distR="0" wp14:anchorId="40591701" wp14:editId="2DEC8BB8">
            <wp:extent cx="2654935" cy="322927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0755" r="49735"/>
                    <a:stretch/>
                  </pic:blipFill>
                  <pic:spPr bwMode="auto">
                    <a:xfrm>
                      <a:off x="0" y="0"/>
                      <a:ext cx="2655277" cy="3229687"/>
                    </a:xfrm>
                    <a:prstGeom prst="rect">
                      <a:avLst/>
                    </a:prstGeom>
                    <a:ln>
                      <a:noFill/>
                    </a:ln>
                    <a:extLst>
                      <a:ext uri="{53640926-AAD7-44D8-BBD7-CCE9431645EC}">
                        <a14:shadowObscured xmlns:a14="http://schemas.microsoft.com/office/drawing/2010/main"/>
                      </a:ext>
                    </a:extLst>
                  </pic:spPr>
                </pic:pic>
              </a:graphicData>
            </a:graphic>
          </wp:inline>
        </w:drawing>
      </w:r>
      <w:r w:rsidR="007D3580" w:rsidRPr="007D3580">
        <w:rPr>
          <w:noProof/>
        </w:rPr>
        <w:t xml:space="preserve"> </w:t>
      </w:r>
      <w:r w:rsidR="007D3580" w:rsidRPr="007D3580">
        <w:drawing>
          <wp:inline distT="0" distB="0" distL="0" distR="0" wp14:anchorId="76BF9C77" wp14:editId="6B5B53D0">
            <wp:extent cx="2397369" cy="130048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165" t="6056" r="4113" b="78132"/>
                    <a:stretch/>
                  </pic:blipFill>
                  <pic:spPr bwMode="auto">
                    <a:xfrm>
                      <a:off x="0" y="0"/>
                      <a:ext cx="2398759" cy="1301234"/>
                    </a:xfrm>
                    <a:prstGeom prst="rect">
                      <a:avLst/>
                    </a:prstGeom>
                    <a:ln>
                      <a:noFill/>
                    </a:ln>
                    <a:extLst>
                      <a:ext uri="{53640926-AAD7-44D8-BBD7-CCE9431645EC}">
                        <a14:shadowObscured xmlns:a14="http://schemas.microsoft.com/office/drawing/2010/main"/>
                      </a:ext>
                    </a:extLst>
                  </pic:spPr>
                </pic:pic>
              </a:graphicData>
            </a:graphic>
          </wp:inline>
        </w:drawing>
      </w:r>
    </w:p>
    <w:sectPr w:rsidR="00895EDB" w:rsidRPr="00895EDB">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37C9C" w14:textId="77777777" w:rsidR="000761BE" w:rsidRDefault="000761BE" w:rsidP="009F4441">
      <w:pPr>
        <w:spacing w:after="0" w:line="240" w:lineRule="auto"/>
      </w:pPr>
      <w:r>
        <w:separator/>
      </w:r>
    </w:p>
  </w:endnote>
  <w:endnote w:type="continuationSeparator" w:id="0">
    <w:p w14:paraId="4ED0E23D" w14:textId="77777777" w:rsidR="000761BE" w:rsidRDefault="000761BE"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F1B6C"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60E7E" w14:textId="77777777" w:rsidR="000761BE" w:rsidRDefault="000761BE" w:rsidP="009F4441">
      <w:pPr>
        <w:spacing w:after="0" w:line="240" w:lineRule="auto"/>
      </w:pPr>
      <w:r>
        <w:separator/>
      </w:r>
    </w:p>
  </w:footnote>
  <w:footnote w:type="continuationSeparator" w:id="0">
    <w:p w14:paraId="23E55DAD" w14:textId="77777777" w:rsidR="000761BE" w:rsidRDefault="000761BE"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CF052"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t xml:space="preserve">   ‏</w:t>
    </w:r>
    <w:r>
      <w:rPr>
        <w:rFonts w:hint="cs"/>
        <w:rtl/>
      </w:rPr>
      <w:t>‏</w:t>
    </w:r>
    <w:r w:rsidR="000761BE" w:rsidRPr="000761BE">
      <w:rPr>
        <w:rtl/>
      </w:rPr>
      <w:t>‏כ"ח אלול תשע"ז</w:t>
    </w:r>
    <w:r w:rsidR="00C47AA7">
      <w:rPr>
        <w:rtl/>
      </w:rPr>
      <w:tab/>
    </w:r>
    <w:r>
      <w:rPr>
        <w:rtl/>
      </w:rPr>
      <w:tab/>
    </w:r>
    <w:r w:rsidRPr="00C52284">
      <w:rPr>
        <w:rtl/>
      </w:rPr>
      <w:t xml:space="preserve"> שיעור </w:t>
    </w:r>
    <w:r w:rsidR="000761BE">
      <w:rPr>
        <w:rFonts w:hint="cs"/>
        <w:rtl/>
      </w:rPr>
      <w:t xml:space="preserve">י"ב - </w:t>
    </w:r>
    <w:r>
      <w:rPr>
        <w:rFonts w:hint="cs"/>
        <w:rtl/>
      </w:rPr>
      <w:t xml:space="preserve">מסכת </w:t>
    </w:r>
    <w:r w:rsidR="000761BE">
      <w:rPr>
        <w:rFonts w:hint="cs"/>
        <w:rtl/>
      </w:rPr>
      <w:t>ברכות ח.-ט.</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1BE"/>
    <w:rsid w:val="000761BE"/>
    <w:rsid w:val="000C25FD"/>
    <w:rsid w:val="001A3E2F"/>
    <w:rsid w:val="002D7162"/>
    <w:rsid w:val="003C22B5"/>
    <w:rsid w:val="005F010D"/>
    <w:rsid w:val="007D3580"/>
    <w:rsid w:val="00831DE4"/>
    <w:rsid w:val="00895EDB"/>
    <w:rsid w:val="0090041E"/>
    <w:rsid w:val="009F4441"/>
    <w:rsid w:val="00A7392B"/>
    <w:rsid w:val="00C47AA7"/>
    <w:rsid w:val="00EC15E5"/>
    <w:rsid w:val="00EE001E"/>
    <w:rsid w:val="00FF4F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F61DA"/>
  <w15:chartTrackingRefBased/>
  <w15:docId w15:val="{F1F6EB91-1EF0-4E2E-946F-789C4357E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C22B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3C22B5"/>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EE001E"/>
    <w:rPr>
      <w:color w:val="0563C1" w:themeColor="hyperlink"/>
      <w:u w:val="single"/>
    </w:rPr>
  </w:style>
  <w:style w:type="character" w:styleId="UnresolvedMention">
    <w:name w:val="Unresolved Mention"/>
    <w:basedOn w:val="DefaultParagraphFont"/>
    <w:uiPriority w:val="99"/>
    <w:semiHidden/>
    <w:unhideWhenUsed/>
    <w:rsid w:val="00EE00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brewbooks.org/pdfpager.aspx?req=1917&amp;st=&amp;pgnum=11&amp;hilit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otzar.org/wotzar/book.aspx?106029&amp;pageid=P00400019"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565</TotalTime>
  <Pages>3</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8</cp:revision>
  <dcterms:created xsi:type="dcterms:W3CDTF">2017-09-19T16:32:00Z</dcterms:created>
  <dcterms:modified xsi:type="dcterms:W3CDTF">2017-09-20T03:38:00Z</dcterms:modified>
</cp:coreProperties>
</file>