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996EC"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3E6157F" w14:textId="74FFC10F" w:rsidR="00927DF1" w:rsidRPr="00927DF1" w:rsidRDefault="00927DF1" w:rsidP="00927DF1">
      <w:pPr>
        <w:pStyle w:val="Subtitle"/>
        <w:rPr>
          <w:rtl/>
        </w:rPr>
      </w:pPr>
      <w:r>
        <w:rPr>
          <w:rFonts w:hint="cs"/>
          <w:rtl/>
        </w:rPr>
        <w:t>נכסדים שיש\שאין להם אחריות</w:t>
      </w:r>
      <w:r>
        <w:rPr>
          <w:rtl/>
        </w:rPr>
        <w:br/>
      </w:r>
      <w:r>
        <w:rPr>
          <w:rFonts w:hint="cs"/>
          <w:rtl/>
        </w:rPr>
        <w:t>פרוזבול, ירשולים</w:t>
      </w:r>
      <w:r w:rsidR="003B6349">
        <w:rPr>
          <w:rFonts w:hint="cs"/>
          <w:rtl/>
        </w:rPr>
        <w:t>, גוסס</w:t>
      </w:r>
      <w:bookmarkStart w:id="0" w:name="_GoBack"/>
      <w:bookmarkEnd w:id="0"/>
    </w:p>
    <w:p w14:paraId="2DCFB4FA" w14:textId="302BC0CA" w:rsidR="009F4441" w:rsidRDefault="005901C4" w:rsidP="009F4441">
      <w:pPr>
        <w:pStyle w:val="Heading1"/>
        <w:rPr>
          <w:rtl/>
        </w:rPr>
      </w:pPr>
      <w:r>
        <w:rPr>
          <w:rFonts w:hint="cs"/>
          <w:rtl/>
        </w:rPr>
        <w:t xml:space="preserve">קנין מטלטלין </w:t>
      </w:r>
      <w:r>
        <w:rPr>
          <w:rtl/>
        </w:rPr>
        <w:t>–</w:t>
      </w:r>
      <w:r>
        <w:rPr>
          <w:rFonts w:hint="cs"/>
          <w:rtl/>
        </w:rPr>
        <w:t xml:space="preserve"> צבורין ואגב</w:t>
      </w:r>
    </w:p>
    <w:p w14:paraId="145E9B09" w14:textId="11E09EF3" w:rsidR="009F4441" w:rsidRDefault="005901C4" w:rsidP="009F4441">
      <w:pPr>
        <w:pStyle w:val="Heading2"/>
        <w:rPr>
          <w:rtl/>
        </w:rPr>
      </w:pPr>
      <w:r>
        <w:rPr>
          <w:rFonts w:hint="cs"/>
          <w:rtl/>
        </w:rPr>
        <w:t>רמב"ם הלכות מכירה ג:ח-ט</w:t>
      </w:r>
    </w:p>
    <w:p w14:paraId="40F2E2A7" w14:textId="77777777" w:rsidR="005901C4" w:rsidRDefault="005901C4" w:rsidP="005901C4">
      <w:pPr>
        <w:rPr>
          <w:rtl/>
        </w:rPr>
      </w:pPr>
      <w:r>
        <w:rPr>
          <w:rtl/>
        </w:rPr>
        <w:t xml:space="preserve">המקנה קרקע ומטלטלין כאחד כיון שקנה קרקע בכסף או בשטר או בחזקה נקנו המטלטלין עמהם בין שהיו שניהם במכר או במתנה, בין שמכר מטלטלין ונתן קרקע, בין שמכר הקרקע ונתן המטלטלין כיון שקנה קרקע קנה מטלטלין.  </w:t>
      </w:r>
    </w:p>
    <w:p w14:paraId="0496B3F6" w14:textId="35737622" w:rsidR="000C25FD" w:rsidRDefault="005901C4" w:rsidP="005901C4">
      <w:pPr>
        <w:rPr>
          <w:sz w:val="18"/>
          <w:szCs w:val="18"/>
        </w:rPr>
      </w:pPr>
      <w:r>
        <w:rPr>
          <w:rtl/>
        </w:rPr>
        <w:t xml:space="preserve">במה דברים אמורים כשהיו אותן המטלטלין צבורין באותה קרקע, אבל אם היו במקום אחר צריך שיאמר לו קנה מטלטלין אגב קרקע, אפילו היו המטלטלין במדינה אחרת ואמר לו קנה אותם על גבי קרקע פלונית כיון שקנה הקרקע נקנו המטלטלין אע"פ שאינן י צבורין בתוכה, ואם לא אמר קנה אגב קרקע לא קנה, וקרקע כל שהיא קונין על גבה כל מטלטלין שירצה. </w:t>
      </w:r>
      <w:r w:rsidRPr="007C54D3">
        <w:rPr>
          <w:sz w:val="18"/>
          <w:szCs w:val="18"/>
          <w:rtl/>
        </w:rPr>
        <w:t>+/השגת הראב"ד/ אגב קרקע לא קנה. א"א זה ההפרש שכתב בין צבורין לשאינן צבורין אינו מחוור דשמעתא לא מיחזיא אלא לעולם אגב וקני בעינן אפילו בצבורין בה דאי לא היכי פסקה למילתיה ואמר והלכתא אגב וקני בעינן צבורין לא בעינן והא זמנין דצבורין בעינן ואגב לא בעינן עכ"ל.+</w:t>
      </w:r>
    </w:p>
    <w:p w14:paraId="2987D12B" w14:textId="14EFCF16" w:rsidR="00322D0A" w:rsidRDefault="00322D0A" w:rsidP="00322D0A">
      <w:pPr>
        <w:pStyle w:val="Heading1"/>
        <w:rPr>
          <w:rtl/>
        </w:rPr>
      </w:pPr>
      <w:r>
        <w:rPr>
          <w:rFonts w:hint="cs"/>
          <w:rtl/>
        </w:rPr>
        <w:t>פרוזבול</w:t>
      </w:r>
    </w:p>
    <w:p w14:paraId="4EE84ABE" w14:textId="6E37C889" w:rsidR="00322D0A" w:rsidRDefault="00961399" w:rsidP="00961399">
      <w:pPr>
        <w:pStyle w:val="Heading2"/>
        <w:rPr>
          <w:rtl/>
        </w:rPr>
      </w:pPr>
      <w:r>
        <w:rPr>
          <w:rFonts w:hint="cs"/>
          <w:rtl/>
        </w:rPr>
        <w:t>גיטין לז.</w:t>
      </w:r>
    </w:p>
    <w:p w14:paraId="6D151692" w14:textId="0BA35904" w:rsidR="00961399" w:rsidRDefault="00961399" w:rsidP="00961399">
      <w:pPr>
        <w:pStyle w:val="Heading2"/>
        <w:rPr>
          <w:rtl/>
        </w:rPr>
      </w:pPr>
      <w:r>
        <w:rPr>
          <w:rFonts w:hint="cs"/>
          <w:rtl/>
        </w:rPr>
        <w:t>תוספות קידושין כו: ד"ה ולכתוב</w:t>
      </w:r>
    </w:p>
    <w:p w14:paraId="149AA049" w14:textId="69999847" w:rsidR="00961399" w:rsidRDefault="00961399" w:rsidP="00961399">
      <w:pPr>
        <w:pStyle w:val="Heading2"/>
        <w:rPr>
          <w:rtl/>
        </w:rPr>
      </w:pPr>
      <w:r>
        <w:rPr>
          <w:rFonts w:hint="cs"/>
          <w:rtl/>
        </w:rPr>
        <w:t>ר"ן</w:t>
      </w:r>
      <w:r w:rsidR="00AA3A2B">
        <w:rPr>
          <w:rFonts w:hint="cs"/>
          <w:rtl/>
        </w:rPr>
        <w:t xml:space="preserve"> גיטין</w:t>
      </w:r>
    </w:p>
    <w:p w14:paraId="4473CB96" w14:textId="196653E4" w:rsidR="00AA3A2B" w:rsidRDefault="00AA3A2B" w:rsidP="00AA3A2B">
      <w:pPr>
        <w:pStyle w:val="Heading1"/>
        <w:rPr>
          <w:rtl/>
        </w:rPr>
      </w:pPr>
      <w:r>
        <w:rPr>
          <w:rFonts w:hint="cs"/>
          <w:rtl/>
        </w:rPr>
        <w:t>ירושלים לא נתחלקה לשבטים</w:t>
      </w:r>
    </w:p>
    <w:p w14:paraId="2B8E1CCB" w14:textId="2E60880F" w:rsidR="00B91230" w:rsidRDefault="00B91230" w:rsidP="00CA5700">
      <w:pPr>
        <w:pStyle w:val="Heading2"/>
        <w:rPr>
          <w:rtl/>
        </w:rPr>
      </w:pPr>
      <w:r>
        <w:rPr>
          <w:rFonts w:hint="cs"/>
          <w:rtl/>
        </w:rPr>
        <w:t>בבק קמא עט</w:t>
      </w:r>
      <w:r w:rsidR="00030B25">
        <w:rPr>
          <w:rFonts w:hint="cs"/>
          <w:rtl/>
        </w:rPr>
        <w:t>:</w:t>
      </w:r>
    </w:p>
    <w:p w14:paraId="485071B4" w14:textId="310AF862" w:rsidR="00BE5704" w:rsidRDefault="00BE5704" w:rsidP="00BE5704">
      <w:pPr>
        <w:pStyle w:val="Heading2"/>
        <w:rPr>
          <w:rtl/>
        </w:rPr>
      </w:pPr>
      <w:r>
        <w:rPr>
          <w:rFonts w:hint="cs"/>
          <w:rtl/>
        </w:rPr>
        <w:t>מגילה כו.</w:t>
      </w:r>
    </w:p>
    <w:p w14:paraId="0CE787F8" w14:textId="27A1BF41" w:rsidR="00AF674F" w:rsidRDefault="00AF674F" w:rsidP="00AF674F">
      <w:pPr>
        <w:pStyle w:val="Heading2"/>
      </w:pPr>
      <w:r>
        <w:rPr>
          <w:rFonts w:hint="cs"/>
          <w:rtl/>
        </w:rPr>
        <w:t>תוספות מכילה כו.</w:t>
      </w:r>
    </w:p>
    <w:p w14:paraId="0332FB95" w14:textId="23A57C97" w:rsidR="000A0A7E" w:rsidRPr="000A0A7E" w:rsidRDefault="000A0A7E" w:rsidP="000A0A7E">
      <w:pPr>
        <w:pStyle w:val="Heading2"/>
        <w:rPr>
          <w:rtl/>
        </w:rPr>
      </w:pPr>
      <w:r>
        <w:rPr>
          <w:rFonts w:hint="cs"/>
          <w:rtl/>
        </w:rPr>
        <w:t>מלחמת ה' סוכה ריש פרק לולב הגזול</w:t>
      </w:r>
    </w:p>
    <w:p w14:paraId="05AD0815" w14:textId="4DFB22CF" w:rsidR="00AA3A2B" w:rsidRDefault="00CA5700" w:rsidP="00CA5700">
      <w:pPr>
        <w:pStyle w:val="Heading2"/>
        <w:rPr>
          <w:rtl/>
        </w:rPr>
      </w:pPr>
      <w:r>
        <w:rPr>
          <w:rFonts w:hint="cs"/>
          <w:rtl/>
        </w:rPr>
        <w:t>ארץ הצבי עמ' רח</w:t>
      </w:r>
      <w:r w:rsidR="006C2E5F">
        <w:rPr>
          <w:rFonts w:hint="cs"/>
          <w:rtl/>
        </w:rPr>
        <w:t>, סימן ל</w:t>
      </w:r>
    </w:p>
    <w:p w14:paraId="2742DD4A" w14:textId="7AD46310" w:rsidR="00536D26" w:rsidRDefault="007730A3" w:rsidP="00536D26">
      <w:pPr>
        <w:pStyle w:val="Heading2"/>
        <w:rPr>
          <w:rtl/>
        </w:rPr>
      </w:pPr>
      <w:r>
        <w:rPr>
          <w:rFonts w:hint="cs"/>
          <w:rtl/>
        </w:rPr>
        <w:t>בעקבי הצאן</w:t>
      </w:r>
      <w:r w:rsidR="00536D26">
        <w:rPr>
          <w:rFonts w:hint="cs"/>
          <w:rtl/>
        </w:rPr>
        <w:t xml:space="preserve"> עמ' רכא </w:t>
      </w:r>
      <w:r w:rsidR="00536D26">
        <w:rPr>
          <w:rtl/>
        </w:rPr>
        <w:t>–</w:t>
      </w:r>
      <w:r w:rsidR="00536D26">
        <w:rPr>
          <w:rFonts w:hint="cs"/>
          <w:rtl/>
        </w:rPr>
        <w:t xml:space="preserve"> סימן לג, ירושלים </w:t>
      </w:r>
      <w:r w:rsidR="00536D26">
        <w:rPr>
          <w:rtl/>
        </w:rPr>
        <w:t>–</w:t>
      </w:r>
      <w:r w:rsidR="00536D26">
        <w:rPr>
          <w:rFonts w:hint="cs"/>
          <w:rtl/>
        </w:rPr>
        <w:t xml:space="preserve"> קרית מלך רב</w:t>
      </w:r>
    </w:p>
    <w:p w14:paraId="40E94C7E" w14:textId="6E1794BF" w:rsidR="003E65F4" w:rsidRDefault="003E65F4" w:rsidP="003E65F4">
      <w:pPr>
        <w:pStyle w:val="Heading1"/>
        <w:rPr>
          <w:rtl/>
        </w:rPr>
      </w:pPr>
      <w:r>
        <w:rPr>
          <w:rFonts w:hint="cs"/>
          <w:rtl/>
        </w:rPr>
        <w:t>גוסס</w:t>
      </w:r>
    </w:p>
    <w:p w14:paraId="19B2580E" w14:textId="74C7E46C" w:rsidR="003E65F4" w:rsidRDefault="003E65F4" w:rsidP="003E65F4">
      <w:pPr>
        <w:pStyle w:val="Heading2"/>
        <w:rPr>
          <w:rtl/>
        </w:rPr>
      </w:pPr>
      <w:r>
        <w:rPr>
          <w:rFonts w:hint="cs"/>
          <w:rtl/>
        </w:rPr>
        <w:t>אהלות א:ו</w:t>
      </w:r>
    </w:p>
    <w:p w14:paraId="3392FAAC" w14:textId="49C76C8D" w:rsidR="003E65F4" w:rsidRDefault="003E65F4" w:rsidP="003E65F4">
      <w:pPr>
        <w:rPr>
          <w:rtl/>
        </w:rPr>
      </w:pPr>
      <w:r w:rsidRPr="003E65F4">
        <w:rPr>
          <w:rtl/>
        </w:rPr>
        <w:t>אדם אינו מטמא עד שתצא נפשו ואפי' מגוייד ואפי' גוסס זוקק ליבום ופוטר מן היבום מאכיל בתרומה ופוסל בתרומה וכן בהמה וחיה אינן מטמאין עד שתצא נפשם הותזו ראשיהם אף על פי שמפרכסים טמאין כגון זנב של לטאה שהיא מפרכסת:</w:t>
      </w:r>
    </w:p>
    <w:p w14:paraId="029C4108" w14:textId="6F62ACF6" w:rsidR="003E65F4" w:rsidRDefault="0087297D" w:rsidP="0087297D">
      <w:pPr>
        <w:pStyle w:val="Heading2"/>
        <w:rPr>
          <w:rtl/>
        </w:rPr>
      </w:pPr>
      <w:r w:rsidRPr="0087297D">
        <w:rPr>
          <w:rtl/>
        </w:rPr>
        <w:t>פירוש המשנה לרמב"ם אהלות א</w:t>
      </w:r>
      <w:r>
        <w:rPr>
          <w:rFonts w:hint="cs"/>
          <w:rtl/>
        </w:rPr>
        <w:t>:ז</w:t>
      </w:r>
    </w:p>
    <w:p w14:paraId="37924B09" w14:textId="19C1A0A8" w:rsidR="0087297D" w:rsidRDefault="0087297D" w:rsidP="0087297D">
      <w:pPr>
        <w:rPr>
          <w:rtl/>
        </w:rPr>
      </w:pPr>
      <w:r w:rsidRPr="0087297D">
        <w:rPr>
          <w:rtl/>
        </w:rPr>
        <w:lastRenderedPageBreak/>
        <w:t>אמר יתעלה בנפש האדם אשר ימות, הרי באר בלשון זה שאינו מטמא עד שימות ואף על פי שהוא במצב שאין לו שום תקוה לחיות, ואם המת אשר טומאתו חמורה אינו מטמא עד שימות כל שכן הנבלה והשרץ. ומגוייד שנחתכו ורידיו. וגוסס "מחצרג" והוא הנאבק בתהליך המות. וזוקק ליבום שאם מת האדם והניח אח במצב זה הרי אשת המת זקוקה ליבם וחלין עליה כל דיני זקוקה ליבם. וכן אם הניח בן במצב זה הרי אשת המת פטורה מן היבום ומן החליצה. והאשה הישראלית שיש לה בן מכהן ואף על פי שהולד במצב זה הרי היא אוכלת בתרומה בשבילו עד שימות. וכן הכהנת שיש לה בן מישראל והוא במצב זה אסורה לאכל בתרומה עד שימות. ופירוש הותזו ראשיהן הובדלו ראשיהן. מפרכסין מתבוססין, והתנועה שמתנועעין האברים אחר המות קוראים אותה פרכוס. ולטאה הוא "אלסאם אבוץ" לפי שבעל חי זה מתנועע זנבו זמן מה אחר שנכרת. ויארע זה למקצת מיני בעלי החיים אם לא היה הכח המניע מתפשט בכל האברים מיסוד ומוצא אחד אלא יהיה מפולג בכל הגוף.</w:t>
      </w:r>
    </w:p>
    <w:p w14:paraId="343CFB1D" w14:textId="0FCC55B9" w:rsidR="00BE158A" w:rsidRDefault="00BE158A" w:rsidP="00BE158A">
      <w:pPr>
        <w:pStyle w:val="Heading2"/>
        <w:rPr>
          <w:rtl/>
        </w:rPr>
      </w:pPr>
      <w:r>
        <w:rPr>
          <w:rFonts w:hint="cs"/>
          <w:rtl/>
        </w:rPr>
        <w:t>גיטין ע:</w:t>
      </w:r>
    </w:p>
    <w:p w14:paraId="2D0151BB" w14:textId="773D11C7" w:rsidR="00B23639" w:rsidRDefault="00B23639" w:rsidP="00B23639">
      <w:pPr>
        <w:pStyle w:val="Heading2"/>
        <w:rPr>
          <w:rtl/>
        </w:rPr>
      </w:pPr>
      <w:r>
        <w:rPr>
          <w:rFonts w:hint="cs"/>
          <w:rtl/>
        </w:rPr>
        <w:t>רא"ש גיטין</w:t>
      </w:r>
    </w:p>
    <w:p w14:paraId="7CDFEB43" w14:textId="7E8ECD84" w:rsidR="00DD2BEF" w:rsidRDefault="00DD2BEF" w:rsidP="00DD2BEF">
      <w:pPr>
        <w:pStyle w:val="Heading2"/>
        <w:rPr>
          <w:rtl/>
        </w:rPr>
      </w:pPr>
      <w:r>
        <w:rPr>
          <w:rFonts w:hint="cs"/>
          <w:rtl/>
        </w:rPr>
        <w:t>קידושין עח:</w:t>
      </w:r>
    </w:p>
    <w:p w14:paraId="29903ECA" w14:textId="1CEB0289" w:rsidR="003925F4" w:rsidRDefault="003925F4" w:rsidP="003925F4">
      <w:pPr>
        <w:pStyle w:val="Heading1"/>
        <w:rPr>
          <w:rtl/>
        </w:rPr>
      </w:pPr>
      <w:r>
        <w:rPr>
          <w:rFonts w:hint="cs"/>
          <w:rtl/>
        </w:rPr>
        <w:t xml:space="preserve">קנינים </w:t>
      </w:r>
      <w:r>
        <w:rPr>
          <w:rtl/>
        </w:rPr>
        <w:t>–</w:t>
      </w:r>
      <w:r>
        <w:rPr>
          <w:rFonts w:hint="cs"/>
          <w:rtl/>
        </w:rPr>
        <w:t xml:space="preserve"> חליפין </w:t>
      </w:r>
      <w:r>
        <w:rPr>
          <w:rtl/>
        </w:rPr>
        <w:t>–</w:t>
      </w:r>
      <w:r>
        <w:rPr>
          <w:rFonts w:hint="cs"/>
          <w:rtl/>
        </w:rPr>
        <w:t xml:space="preserve"> מטבע</w:t>
      </w:r>
    </w:p>
    <w:p w14:paraId="7ECD0919" w14:textId="58EF8E09" w:rsidR="003925F4" w:rsidRDefault="003925F4" w:rsidP="003925F4">
      <w:pPr>
        <w:pStyle w:val="Heading2"/>
        <w:rPr>
          <w:rtl/>
        </w:rPr>
      </w:pPr>
      <w:r>
        <w:rPr>
          <w:rFonts w:hint="cs"/>
          <w:rtl/>
        </w:rPr>
        <w:t>בבא מציעא מד:</w:t>
      </w:r>
    </w:p>
    <w:p w14:paraId="7928E0C8" w14:textId="69F5EFE0" w:rsidR="003925F4" w:rsidRPr="003925F4" w:rsidRDefault="003925F4" w:rsidP="003925F4">
      <w:pPr>
        <w:pStyle w:val="Heading2"/>
        <w:rPr>
          <w:rtl/>
        </w:rPr>
      </w:pPr>
      <w:r>
        <w:rPr>
          <w:rFonts w:hint="cs"/>
          <w:rtl/>
        </w:rPr>
        <w:t>חידושי הרמב"ן בבא מציעא מד: ד"ה אלא</w:t>
      </w:r>
    </w:p>
    <w:sectPr w:rsidR="003925F4" w:rsidRPr="003925F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EFBDA" w14:textId="77777777" w:rsidR="00F85506" w:rsidRDefault="00F85506" w:rsidP="009F4441">
      <w:pPr>
        <w:spacing w:after="0" w:line="240" w:lineRule="auto"/>
      </w:pPr>
      <w:r>
        <w:separator/>
      </w:r>
    </w:p>
  </w:endnote>
  <w:endnote w:type="continuationSeparator" w:id="0">
    <w:p w14:paraId="51B6E70D" w14:textId="77777777" w:rsidR="00F85506" w:rsidRDefault="00F85506"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90FA"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61379" w14:textId="77777777" w:rsidR="00F85506" w:rsidRDefault="00F85506" w:rsidP="009F4441">
      <w:pPr>
        <w:spacing w:after="0" w:line="240" w:lineRule="auto"/>
      </w:pPr>
      <w:r>
        <w:separator/>
      </w:r>
    </w:p>
  </w:footnote>
  <w:footnote w:type="continuationSeparator" w:id="0">
    <w:p w14:paraId="35F047ED" w14:textId="77777777" w:rsidR="00F85506" w:rsidRDefault="00F85506"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80E80" w14:textId="6C8972A3" w:rsidR="009F4441" w:rsidRPr="009F4441" w:rsidRDefault="009F4441" w:rsidP="009F4441">
    <w:pPr>
      <w:jc w:val="center"/>
    </w:pPr>
    <w:r w:rsidRPr="00C52284">
      <w:rPr>
        <w:rtl/>
      </w:rPr>
      <w:t>הרב צבי שכטר</w:t>
    </w:r>
    <w:r w:rsidRPr="00C52284">
      <w:tab/>
    </w:r>
    <w:r w:rsidRPr="00C52284">
      <w:rPr>
        <w:rtl/>
      </w:rPr>
      <w:tab/>
    </w:r>
    <w:r w:rsidRPr="00C52284">
      <w:tab/>
    </w:r>
    <w:r w:rsidR="00321949" w:rsidRPr="00321949">
      <w:rPr>
        <w:rtl/>
      </w:rPr>
      <w:tab/>
      <w:t xml:space="preserve">   ‏‏‏כ"ה אדר תשע"ז</w:t>
    </w:r>
    <w:r w:rsidR="00321949" w:rsidRPr="00321949">
      <w:rPr>
        <w:rtl/>
      </w:rPr>
      <w:tab/>
    </w:r>
    <w:r w:rsidR="00437338">
      <w:rPr>
        <w:rFonts w:hint="cs"/>
        <w:rtl/>
      </w:rPr>
      <w:t xml:space="preserve">  </w:t>
    </w:r>
    <w:r w:rsidR="00321949">
      <w:rPr>
        <w:rtl/>
      </w:rPr>
      <w:tab/>
    </w:r>
    <w:r w:rsidRPr="00C52284">
      <w:rPr>
        <w:rtl/>
      </w:rPr>
      <w:t xml:space="preserve"> </w:t>
    </w:r>
    <w:r w:rsidR="00437338">
      <w:rPr>
        <w:rFonts w:hint="cs"/>
        <w:rtl/>
      </w:rPr>
      <w:t xml:space="preserve">        </w:t>
    </w:r>
    <w:r w:rsidRPr="00C52284">
      <w:rPr>
        <w:rtl/>
      </w:rPr>
      <w:t xml:space="preserve">שיעור </w:t>
    </w:r>
    <w:r w:rsidR="00321949">
      <w:rPr>
        <w:rFonts w:hint="cs"/>
        <w:rtl/>
      </w:rPr>
      <w:t>פ"ו</w:t>
    </w:r>
    <w:r>
      <w:rPr>
        <w:rFonts w:hint="cs"/>
        <w:rtl/>
      </w:rPr>
      <w:t xml:space="preserve"> - מסכת קידושין </w:t>
    </w:r>
    <w:r w:rsidR="00321949">
      <w:rPr>
        <w:rFonts w:hint="cs"/>
        <w:rtl/>
      </w:rPr>
      <w:t>כו</w:t>
    </w:r>
    <w:r>
      <w:rPr>
        <w:rFonts w:hint="cs"/>
        <w:rtl/>
      </w:rPr>
      <w:t>.</w:t>
    </w:r>
    <w:r w:rsidR="001B6586">
      <w:rPr>
        <w:rFonts w:hint="cs"/>
        <w:rtl/>
      </w:rPr>
      <w:t>-כז</w:t>
    </w:r>
    <w:r w:rsidR="00F65C53">
      <w:rPr>
        <w:rFonts w:hint="cs"/>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06"/>
    <w:rsid w:val="00030B25"/>
    <w:rsid w:val="000A0A7E"/>
    <w:rsid w:val="000C25FD"/>
    <w:rsid w:val="001A3E2F"/>
    <w:rsid w:val="001B6586"/>
    <w:rsid w:val="002D7162"/>
    <w:rsid w:val="00321949"/>
    <w:rsid w:val="00322D0A"/>
    <w:rsid w:val="003925F4"/>
    <w:rsid w:val="003B6349"/>
    <w:rsid w:val="003E65F4"/>
    <w:rsid w:val="00437338"/>
    <w:rsid w:val="00495BDF"/>
    <w:rsid w:val="00536D26"/>
    <w:rsid w:val="005901C4"/>
    <w:rsid w:val="006C2E5F"/>
    <w:rsid w:val="007730A3"/>
    <w:rsid w:val="007C54D3"/>
    <w:rsid w:val="0087297D"/>
    <w:rsid w:val="00927DF1"/>
    <w:rsid w:val="00961399"/>
    <w:rsid w:val="009F4441"/>
    <w:rsid w:val="00AA3A2B"/>
    <w:rsid w:val="00AF674F"/>
    <w:rsid w:val="00B23639"/>
    <w:rsid w:val="00B91230"/>
    <w:rsid w:val="00BE158A"/>
    <w:rsid w:val="00BE5704"/>
    <w:rsid w:val="00C47AA7"/>
    <w:rsid w:val="00CA5700"/>
    <w:rsid w:val="00DD2BEF"/>
    <w:rsid w:val="00DF6559"/>
    <w:rsid w:val="00F65C53"/>
    <w:rsid w:val="00F855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1FCF"/>
  <w15:chartTrackingRefBased/>
  <w15:docId w15:val="{93198AB3-08BA-498D-A3D1-4D39C21D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430516">
      <w:bodyDiv w:val="1"/>
      <w:marLeft w:val="0"/>
      <w:marRight w:val="0"/>
      <w:marTop w:val="0"/>
      <w:marBottom w:val="0"/>
      <w:divBdr>
        <w:top w:val="none" w:sz="0" w:space="0" w:color="auto"/>
        <w:left w:val="none" w:sz="0" w:space="0" w:color="auto"/>
        <w:bottom w:val="none" w:sz="0" w:space="0" w:color="auto"/>
        <w:right w:val="none" w:sz="0" w:space="0" w:color="auto"/>
      </w:divBdr>
      <w:divsChild>
        <w:div w:id="1030494992">
          <w:marLeft w:val="0"/>
          <w:marRight w:val="-45"/>
          <w:marTop w:val="0"/>
          <w:marBottom w:val="0"/>
          <w:divBdr>
            <w:top w:val="none" w:sz="0" w:space="0" w:color="auto"/>
            <w:left w:val="none" w:sz="0" w:space="0" w:color="auto"/>
            <w:bottom w:val="none" w:sz="0" w:space="0" w:color="auto"/>
            <w:right w:val="none" w:sz="0" w:space="0" w:color="auto"/>
          </w:divBdr>
        </w:div>
        <w:div w:id="1086149483">
          <w:marLeft w:val="0"/>
          <w:marRight w:val="-45"/>
          <w:marTop w:val="0"/>
          <w:marBottom w:val="0"/>
          <w:divBdr>
            <w:top w:val="none" w:sz="0" w:space="0" w:color="auto"/>
            <w:left w:val="none" w:sz="0" w:space="0" w:color="auto"/>
            <w:bottom w:val="none" w:sz="0" w:space="0" w:color="auto"/>
            <w:right w:val="none" w:sz="0" w:space="0" w:color="auto"/>
          </w:divBdr>
        </w:div>
        <w:div w:id="1318261246">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87</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27</cp:revision>
  <dcterms:created xsi:type="dcterms:W3CDTF">2017-03-23T14:53:00Z</dcterms:created>
  <dcterms:modified xsi:type="dcterms:W3CDTF">2017-03-23T17:33:00Z</dcterms:modified>
</cp:coreProperties>
</file>