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13" w:rsidRDefault="00BB4A13" w:rsidP="00BB4A13">
      <w:pPr>
        <w:pStyle w:val="NoSpacing"/>
        <w:jc w:val="center"/>
        <w:rPr>
          <w:rFonts w:asciiTheme="majorBidi" w:hAnsiTheme="majorBidi" w:cstheme="majorBidi"/>
          <w:b/>
          <w:bCs/>
          <w:sz w:val="32"/>
          <w:szCs w:val="32"/>
        </w:rPr>
      </w:pPr>
      <w:proofErr w:type="spellStart"/>
      <w:r w:rsidRPr="00A969E7">
        <w:rPr>
          <w:rFonts w:asciiTheme="majorBidi" w:hAnsiTheme="majorBidi" w:cstheme="majorBidi"/>
          <w:b/>
          <w:bCs/>
          <w:sz w:val="32"/>
          <w:szCs w:val="32"/>
          <w:u w:val="single"/>
        </w:rPr>
        <w:t>Kiddushin</w:t>
      </w:r>
      <w:proofErr w:type="spellEnd"/>
      <w:r w:rsidRPr="00A969E7">
        <w:rPr>
          <w:rFonts w:asciiTheme="majorBidi" w:hAnsiTheme="majorBidi" w:cstheme="majorBidi"/>
          <w:b/>
          <w:bCs/>
          <w:sz w:val="32"/>
          <w:szCs w:val="32"/>
          <w:u w:val="single"/>
        </w:rPr>
        <w:t xml:space="preserve"> – </w:t>
      </w:r>
      <w:proofErr w:type="spellStart"/>
      <w:r w:rsidRPr="00A969E7">
        <w:rPr>
          <w:rFonts w:asciiTheme="majorBidi" w:hAnsiTheme="majorBidi" w:cstheme="majorBidi"/>
          <w:b/>
          <w:bCs/>
          <w:sz w:val="32"/>
          <w:szCs w:val="32"/>
          <w:u w:val="single"/>
        </w:rPr>
        <w:t>Daf</w:t>
      </w:r>
      <w:proofErr w:type="spellEnd"/>
      <w:r w:rsidRPr="00A969E7">
        <w:rPr>
          <w:rFonts w:asciiTheme="majorBidi" w:hAnsiTheme="majorBidi" w:cstheme="majorBidi"/>
          <w:b/>
          <w:bCs/>
          <w:sz w:val="32"/>
          <w:szCs w:val="32"/>
          <w:u w:val="single"/>
        </w:rPr>
        <w:t xml:space="preserve"> </w:t>
      </w:r>
      <w:r>
        <w:rPr>
          <w:rFonts w:asciiTheme="majorBidi" w:hAnsiTheme="majorBidi" w:cstheme="majorBidi"/>
          <w:b/>
          <w:bCs/>
          <w:sz w:val="32"/>
          <w:szCs w:val="32"/>
          <w:u w:val="single"/>
        </w:rPr>
        <w:t xml:space="preserve">-6a </w:t>
      </w:r>
      <w:r>
        <w:rPr>
          <w:rFonts w:asciiTheme="majorBidi" w:hAnsiTheme="majorBidi" w:cstheme="majorBidi"/>
          <w:b/>
          <w:bCs/>
          <w:sz w:val="32"/>
          <w:szCs w:val="32"/>
        </w:rPr>
        <w:t>– Shiur # 8</w:t>
      </w:r>
    </w:p>
    <w:p w:rsidR="00952C2D" w:rsidRDefault="00952C2D" w:rsidP="00952C2D">
      <w:pPr>
        <w:pStyle w:val="NoSpacing"/>
        <w:jc w:val="right"/>
      </w:pPr>
    </w:p>
    <w:p w:rsidR="00952C2D" w:rsidRDefault="00952C2D" w:rsidP="00952C2D">
      <w:pPr>
        <w:pStyle w:val="NoSpacing"/>
        <w:jc w:val="right"/>
      </w:pPr>
    </w:p>
    <w:p w:rsidR="00952C2D" w:rsidRPr="00952C2D" w:rsidRDefault="00407D74" w:rsidP="00952C2D">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1. </w:t>
      </w:r>
      <w:r w:rsidR="00952C2D" w:rsidRPr="00952C2D">
        <w:rPr>
          <w:rFonts w:asciiTheme="majorBidi" w:hAnsiTheme="majorBidi" w:cs="Times New Roman"/>
          <w:b/>
          <w:bCs/>
          <w:sz w:val="24"/>
          <w:szCs w:val="24"/>
          <w:rtl/>
        </w:rPr>
        <w:t>ויקרא פרשת קדושים פרק יט</w:t>
      </w:r>
    </w:p>
    <w:p w:rsidR="00952C2D" w:rsidRPr="00952C2D" w:rsidRDefault="00952C2D" w:rsidP="00952C2D">
      <w:pPr>
        <w:pStyle w:val="NoSpacing"/>
        <w:jc w:val="right"/>
        <w:rPr>
          <w:rFonts w:asciiTheme="majorBidi" w:hAnsiTheme="majorBidi" w:cstheme="majorBidi"/>
          <w:sz w:val="24"/>
          <w:szCs w:val="24"/>
          <w:rtl/>
        </w:rPr>
      </w:pPr>
      <w:r w:rsidRPr="00952C2D">
        <w:rPr>
          <w:rFonts w:asciiTheme="majorBidi" w:hAnsiTheme="majorBidi" w:cs="Times New Roman"/>
          <w:sz w:val="24"/>
          <w:szCs w:val="24"/>
          <w:rtl/>
        </w:rPr>
        <w:t>(כ) וְאִישׁ כִּי יִשְׁכַּב אֶת אִשָּׁה שִׁכְבַת זֶרַע וְהִוא שִׁפְחָה נֶחֱרֶפֶת לְאִישׁ וְהָפְדֵּה לֹא נִפְדָּתָה אוֹ חֻפְשָׁה לֹא נִתַּן לָהּ בִּקֹּרֶת תִּהְיֶה לֹא יוּמְתוּ כִּי לֹא חֻפָּשָׁה</w:t>
      </w:r>
    </w:p>
    <w:p w:rsidR="00952C2D" w:rsidRPr="00952C2D" w:rsidRDefault="00952C2D" w:rsidP="00952C2D">
      <w:pPr>
        <w:pStyle w:val="NoSpacing"/>
        <w:jc w:val="right"/>
        <w:rPr>
          <w:rFonts w:asciiTheme="majorBidi" w:hAnsiTheme="majorBidi" w:cstheme="majorBidi"/>
          <w:sz w:val="24"/>
          <w:szCs w:val="24"/>
        </w:rPr>
      </w:pPr>
      <w:r w:rsidRPr="00952C2D">
        <w:rPr>
          <w:rFonts w:asciiTheme="majorBidi" w:hAnsiTheme="majorBidi" w:cstheme="majorBidi"/>
          <w:sz w:val="24"/>
          <w:szCs w:val="24"/>
        </w:rPr>
        <w:t xml:space="preserve">    </w:t>
      </w:r>
      <w:r w:rsidRPr="00952C2D">
        <w:rPr>
          <w:rFonts w:asciiTheme="majorBidi" w:hAnsiTheme="majorBidi" w:cs="Times New Roman"/>
          <w:sz w:val="24"/>
          <w:szCs w:val="24"/>
          <w:rtl/>
        </w:rPr>
        <w:t>(כא) וְהֵבִיא אֶת אֲשָׁמוֹ לַיקֹוָק אֶל פֶּתַח אֹהֶל מוֹעֵד אֵיל אָשָׁם</w:t>
      </w:r>
    </w:p>
    <w:p w:rsidR="00952C2D" w:rsidRDefault="00952C2D" w:rsidP="00952C2D">
      <w:pPr>
        <w:pStyle w:val="NoSpacing"/>
        <w:jc w:val="right"/>
        <w:rPr>
          <w:rFonts w:asciiTheme="majorBidi" w:hAnsiTheme="majorBidi" w:cs="Times New Roman"/>
          <w:sz w:val="24"/>
          <w:szCs w:val="24"/>
          <w:rtl/>
        </w:rPr>
      </w:pPr>
      <w:r w:rsidRPr="00952C2D">
        <w:rPr>
          <w:rFonts w:asciiTheme="majorBidi" w:hAnsiTheme="majorBidi" w:cstheme="majorBidi"/>
          <w:sz w:val="24"/>
          <w:szCs w:val="24"/>
        </w:rPr>
        <w:t xml:space="preserve">    </w:t>
      </w:r>
      <w:r w:rsidRPr="00952C2D">
        <w:rPr>
          <w:rFonts w:asciiTheme="majorBidi" w:hAnsiTheme="majorBidi" w:cs="Times New Roman"/>
          <w:sz w:val="24"/>
          <w:szCs w:val="24"/>
          <w:rtl/>
        </w:rPr>
        <w:t>(כב) וְכִפֶּר עָלָיו הַכֹּהֵן בְּאֵיל הָאָשָׁם לִפְנֵי יְקֹוָק עַל חַטָּאתוֹ אֲשֶׁר חָטָא וְנִסְלַח לוֹ מֵחַטָּאתוֹ אֲשֶׁר חָטָא: פ</w:t>
      </w:r>
    </w:p>
    <w:p w:rsidR="00952C2D" w:rsidRDefault="00952C2D" w:rsidP="00952C2D">
      <w:pPr>
        <w:pStyle w:val="NoSpacing"/>
        <w:jc w:val="right"/>
        <w:rPr>
          <w:rFonts w:asciiTheme="majorBidi" w:hAnsiTheme="majorBidi" w:cs="Times New Roman"/>
          <w:sz w:val="24"/>
          <w:szCs w:val="24"/>
          <w:rtl/>
        </w:rPr>
      </w:pPr>
    </w:p>
    <w:p w:rsidR="00952C2D" w:rsidRDefault="00952C2D" w:rsidP="00952C2D">
      <w:pPr>
        <w:pStyle w:val="NoSpacing"/>
        <w:jc w:val="right"/>
        <w:rPr>
          <w:rFonts w:asciiTheme="majorBidi" w:hAnsiTheme="majorBidi" w:cstheme="majorBidi"/>
          <w:sz w:val="24"/>
          <w:szCs w:val="24"/>
        </w:rPr>
      </w:pPr>
      <w:r>
        <w:rPr>
          <w:noProof/>
        </w:rPr>
        <w:drawing>
          <wp:inline distT="0" distB="0" distL="0" distR="0" wp14:anchorId="51ED83A5" wp14:editId="350C9A38">
            <wp:extent cx="6809173"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840411" cy="1129106"/>
                    </a:xfrm>
                    <a:prstGeom prst="rect">
                      <a:avLst/>
                    </a:prstGeom>
                  </pic:spPr>
                </pic:pic>
              </a:graphicData>
            </a:graphic>
          </wp:inline>
        </w:drawing>
      </w:r>
    </w:p>
    <w:p w:rsidR="00952C2D" w:rsidRPr="00952C2D" w:rsidRDefault="00952C2D" w:rsidP="00952C2D">
      <w:pPr>
        <w:pStyle w:val="NoSpacing"/>
        <w:jc w:val="right"/>
        <w:rPr>
          <w:rFonts w:asciiTheme="majorBidi" w:hAnsiTheme="majorBidi" w:cs="Times New Roman"/>
          <w:sz w:val="24"/>
          <w:szCs w:val="24"/>
          <w:rtl/>
        </w:rPr>
      </w:pPr>
    </w:p>
    <w:p w:rsidR="00952C2D" w:rsidRPr="00952C2D" w:rsidRDefault="00952C2D" w:rsidP="00952C2D">
      <w:pPr>
        <w:pStyle w:val="NoSpacing"/>
        <w:jc w:val="right"/>
        <w:rPr>
          <w:rFonts w:asciiTheme="majorBidi" w:hAnsiTheme="majorBidi" w:cs="Times New Roman"/>
          <w:b/>
          <w:bCs/>
          <w:sz w:val="24"/>
          <w:szCs w:val="24"/>
          <w:rtl/>
        </w:rPr>
      </w:pPr>
      <w:r w:rsidRPr="00952C2D">
        <w:rPr>
          <w:rFonts w:asciiTheme="majorBidi" w:hAnsiTheme="majorBidi" w:cs="Times New Roman"/>
          <w:b/>
          <w:bCs/>
          <w:sz w:val="24"/>
          <w:szCs w:val="24"/>
        </w:rPr>
        <w:tab/>
      </w:r>
      <w:r w:rsidR="00407D74">
        <w:rPr>
          <w:rFonts w:asciiTheme="majorBidi" w:hAnsiTheme="majorBidi" w:cs="Times New Roman" w:hint="cs"/>
          <w:b/>
          <w:bCs/>
          <w:sz w:val="24"/>
          <w:szCs w:val="24"/>
          <w:rtl/>
        </w:rPr>
        <w:t xml:space="preserve">2. </w:t>
      </w:r>
      <w:r w:rsidRPr="00952C2D">
        <w:rPr>
          <w:rFonts w:asciiTheme="majorBidi" w:hAnsiTheme="majorBidi" w:cs="Times New Roman"/>
          <w:b/>
          <w:bCs/>
          <w:sz w:val="24"/>
          <w:szCs w:val="24"/>
          <w:rtl/>
        </w:rPr>
        <w:t>תלמוד בבלי מסכת כריתות דף</w:t>
      </w:r>
      <w:r w:rsidRPr="00952C2D">
        <w:rPr>
          <w:rFonts w:asciiTheme="majorBidi" w:hAnsiTheme="majorBidi" w:cs="Times New Roman" w:hint="cs"/>
          <w:b/>
          <w:bCs/>
          <w:sz w:val="24"/>
          <w:szCs w:val="24"/>
          <w:rtl/>
        </w:rPr>
        <w:t xml:space="preserve">  </w:t>
      </w:r>
      <w:r w:rsidRPr="00952C2D">
        <w:rPr>
          <w:rFonts w:asciiTheme="majorBidi" w:hAnsiTheme="majorBidi" w:cs="Times New Roman"/>
          <w:b/>
          <w:bCs/>
          <w:sz w:val="24"/>
          <w:szCs w:val="24"/>
          <w:rtl/>
        </w:rPr>
        <w:t>יא עמוד א</w:t>
      </w:r>
    </w:p>
    <w:p w:rsidR="00952C2D" w:rsidRDefault="00952C2D" w:rsidP="00952C2D">
      <w:pPr>
        <w:pStyle w:val="NoSpacing"/>
        <w:jc w:val="right"/>
        <w:rPr>
          <w:rFonts w:asciiTheme="majorBidi" w:hAnsiTheme="majorBidi" w:cs="Times New Roman"/>
          <w:sz w:val="24"/>
          <w:szCs w:val="24"/>
        </w:rPr>
      </w:pPr>
      <w:r w:rsidRPr="00952C2D">
        <w:rPr>
          <w:rFonts w:asciiTheme="majorBidi" w:hAnsiTheme="majorBidi" w:cs="Times New Roman"/>
          <w:sz w:val="24"/>
          <w:szCs w:val="24"/>
          <w:rtl/>
        </w:rPr>
        <w:t>איזו שפחה? כל שחציה שפחה</w:t>
      </w:r>
      <w:r>
        <w:rPr>
          <w:rFonts w:asciiTheme="majorBidi" w:hAnsiTheme="majorBidi" w:cs="Times New Roman" w:hint="cs"/>
          <w:sz w:val="24"/>
          <w:szCs w:val="24"/>
          <w:rtl/>
        </w:rPr>
        <w:t xml:space="preserve"> </w:t>
      </w:r>
      <w:r w:rsidRPr="00952C2D">
        <w:rPr>
          <w:rFonts w:asciiTheme="majorBidi" w:hAnsiTheme="majorBidi" w:cs="Times New Roman"/>
          <w:sz w:val="24"/>
          <w:szCs w:val="24"/>
          <w:rtl/>
        </w:rPr>
        <w:t xml:space="preserve">וחציה בת חורין, שנאמר: </w:t>
      </w:r>
      <w:r>
        <w:rPr>
          <w:rFonts w:asciiTheme="majorBidi" w:hAnsiTheme="majorBidi" w:cs="Times New Roman"/>
          <w:sz w:val="24"/>
          <w:szCs w:val="24"/>
          <w:rtl/>
        </w:rPr>
        <w:t xml:space="preserve">והפדה לא נפדתה, דברי ר' </w:t>
      </w:r>
      <w:r>
        <w:rPr>
          <w:rFonts w:asciiTheme="majorBidi" w:hAnsiTheme="majorBidi" w:cs="Times New Roman" w:hint="cs"/>
          <w:sz w:val="24"/>
          <w:szCs w:val="24"/>
          <w:rtl/>
        </w:rPr>
        <w:t>עקיבא</w:t>
      </w:r>
      <w:r w:rsidRPr="00952C2D">
        <w:rPr>
          <w:rFonts w:asciiTheme="majorBidi" w:hAnsiTheme="majorBidi" w:cs="Times New Roman"/>
          <w:sz w:val="24"/>
          <w:szCs w:val="24"/>
          <w:rtl/>
        </w:rPr>
        <w:t>; ר' ישמעאל אומר: זו היא שפחה ודאית</w:t>
      </w:r>
    </w:p>
    <w:p w:rsidR="0081472D" w:rsidRDefault="0081472D" w:rsidP="00952C2D">
      <w:pPr>
        <w:pStyle w:val="NoSpacing"/>
        <w:jc w:val="right"/>
        <w:rPr>
          <w:rFonts w:asciiTheme="majorBidi" w:hAnsiTheme="majorBidi" w:cs="Times New Roman"/>
          <w:sz w:val="24"/>
          <w:szCs w:val="24"/>
        </w:rPr>
      </w:pPr>
    </w:p>
    <w:p w:rsidR="0081472D" w:rsidRPr="0081472D" w:rsidRDefault="00407D74" w:rsidP="0081472D">
      <w:pPr>
        <w:pStyle w:val="NoSpacing"/>
        <w:jc w:val="right"/>
        <w:rPr>
          <w:rFonts w:asciiTheme="majorBidi" w:hAnsiTheme="majorBidi" w:cs="Times New Roman"/>
          <w:b/>
          <w:bCs/>
          <w:sz w:val="24"/>
          <w:szCs w:val="24"/>
        </w:rPr>
      </w:pPr>
      <w:r>
        <w:rPr>
          <w:rFonts w:asciiTheme="majorBidi" w:hAnsiTheme="majorBidi" w:cs="Times New Roman" w:hint="cs"/>
          <w:b/>
          <w:bCs/>
          <w:sz w:val="24"/>
          <w:szCs w:val="24"/>
          <w:rtl/>
        </w:rPr>
        <w:t xml:space="preserve">3. </w:t>
      </w:r>
      <w:r w:rsidR="0081472D" w:rsidRPr="0081472D">
        <w:rPr>
          <w:rFonts w:asciiTheme="majorBidi" w:hAnsiTheme="majorBidi" w:cs="Times New Roman"/>
          <w:b/>
          <w:bCs/>
          <w:sz w:val="24"/>
          <w:szCs w:val="24"/>
          <w:rtl/>
        </w:rPr>
        <w:t>רמב"ם הלכות אישות פרק ג</w:t>
      </w:r>
      <w:r w:rsidR="0081472D" w:rsidRPr="0081472D">
        <w:rPr>
          <w:rFonts w:asciiTheme="majorBidi" w:hAnsiTheme="majorBidi" w:cs="Times New Roman" w:hint="cs"/>
          <w:b/>
          <w:bCs/>
          <w:sz w:val="24"/>
          <w:szCs w:val="24"/>
          <w:rtl/>
        </w:rPr>
        <w:t>:</w:t>
      </w:r>
      <w:r w:rsidR="0081472D" w:rsidRPr="0081472D">
        <w:rPr>
          <w:b/>
          <w:bCs/>
          <w:rtl/>
        </w:rPr>
        <w:t xml:space="preserve"> </w:t>
      </w:r>
      <w:r w:rsidR="0081472D" w:rsidRPr="0081472D">
        <w:rPr>
          <w:rFonts w:asciiTheme="majorBidi" w:hAnsiTheme="majorBidi" w:cs="Times New Roman"/>
          <w:b/>
          <w:bCs/>
          <w:sz w:val="24"/>
          <w:szCs w:val="24"/>
          <w:rtl/>
        </w:rPr>
        <w:t>הלכה ו</w:t>
      </w:r>
    </w:p>
    <w:p w:rsidR="0081472D" w:rsidRDefault="0081472D" w:rsidP="0081472D">
      <w:pPr>
        <w:pStyle w:val="NoSpacing"/>
        <w:jc w:val="right"/>
        <w:rPr>
          <w:rFonts w:asciiTheme="majorBidi" w:hAnsiTheme="majorBidi" w:cs="Times New Roman"/>
          <w:sz w:val="24"/>
          <w:szCs w:val="24"/>
        </w:rPr>
      </w:pPr>
      <w:r w:rsidRPr="0081472D">
        <w:rPr>
          <w:rFonts w:asciiTheme="majorBidi" w:hAnsiTheme="majorBidi" w:cs="Times New Roman"/>
          <w:sz w:val="24"/>
          <w:szCs w:val="24"/>
          <w:rtl/>
        </w:rPr>
        <w:t xml:space="preserve">הדברים שיאמר האיש כשיקדש צריך שיהיה עניינם שהוא קונה אשה לא שיהא עניינם שהקנה עצמו לה, כיצד הרי שאמר לה או כתב בשטר שנתנו לה הריני בעליך, הריני ארוסיך, הריני אישיך וכל כיוצא בזה, אין כאן קידושין כלל. אמר לה או כתב לה הרי את אשתי, הרי את ארוסתי, או הרי את קנויה לי, הרי את שלי, הרי את ברשותי, הרי את זקוקה לי, הרי את לקוחתי, </w:t>
      </w:r>
      <w:r w:rsidRPr="0081472D">
        <w:rPr>
          <w:rFonts w:asciiTheme="majorBidi" w:hAnsiTheme="majorBidi" w:cs="Times New Roman"/>
          <w:b/>
          <w:bCs/>
          <w:sz w:val="24"/>
          <w:szCs w:val="24"/>
          <w:u w:val="single"/>
          <w:rtl/>
        </w:rPr>
        <w:t>הרי את חרופתי וכל כיוצא בזה, הרי זו מקודשת</w:t>
      </w:r>
      <w:r w:rsidRPr="0081472D">
        <w:rPr>
          <w:rFonts w:asciiTheme="majorBidi" w:hAnsiTheme="majorBidi" w:cs="Times New Roman"/>
          <w:sz w:val="24"/>
          <w:szCs w:val="24"/>
        </w:rPr>
        <w:t>.</w:t>
      </w:r>
    </w:p>
    <w:p w:rsidR="0081472D" w:rsidRDefault="0081472D" w:rsidP="00952C2D">
      <w:pPr>
        <w:pStyle w:val="NoSpacing"/>
        <w:jc w:val="right"/>
        <w:rPr>
          <w:rFonts w:asciiTheme="majorBidi" w:hAnsiTheme="majorBidi" w:cs="Times New Roman"/>
          <w:sz w:val="24"/>
          <w:szCs w:val="24"/>
        </w:rPr>
      </w:pPr>
    </w:p>
    <w:p w:rsidR="0081472D" w:rsidRPr="0081472D" w:rsidRDefault="00407D74" w:rsidP="0081472D">
      <w:pPr>
        <w:pStyle w:val="NoSpacing"/>
        <w:jc w:val="right"/>
        <w:rPr>
          <w:rFonts w:asciiTheme="majorBidi" w:hAnsiTheme="majorBidi" w:cs="Times New Roman"/>
          <w:b/>
          <w:bCs/>
          <w:sz w:val="24"/>
          <w:szCs w:val="24"/>
        </w:rPr>
      </w:pPr>
      <w:r>
        <w:rPr>
          <w:rFonts w:asciiTheme="majorBidi" w:hAnsiTheme="majorBidi" w:cs="Times New Roman" w:hint="cs"/>
          <w:b/>
          <w:bCs/>
          <w:sz w:val="24"/>
          <w:szCs w:val="24"/>
          <w:rtl/>
        </w:rPr>
        <w:t xml:space="preserve">4. </w:t>
      </w:r>
      <w:r w:rsidR="0081472D" w:rsidRPr="0081472D">
        <w:rPr>
          <w:rFonts w:asciiTheme="majorBidi" w:hAnsiTheme="majorBidi" w:cs="Times New Roman"/>
          <w:b/>
          <w:bCs/>
          <w:sz w:val="24"/>
          <w:szCs w:val="24"/>
          <w:rtl/>
        </w:rPr>
        <w:t>רמב"ם הלכות איסורי ביאה פרק ג</w:t>
      </w:r>
      <w:r w:rsidR="0081472D" w:rsidRPr="0081472D">
        <w:rPr>
          <w:rFonts w:asciiTheme="majorBidi" w:hAnsiTheme="majorBidi" w:cs="Times New Roman" w:hint="cs"/>
          <w:b/>
          <w:bCs/>
          <w:sz w:val="24"/>
          <w:szCs w:val="24"/>
          <w:rtl/>
        </w:rPr>
        <w:t>:</w:t>
      </w:r>
      <w:r w:rsidR="0081472D" w:rsidRPr="0081472D">
        <w:rPr>
          <w:rFonts w:asciiTheme="majorBidi" w:hAnsiTheme="majorBidi" w:cs="Times New Roman"/>
          <w:b/>
          <w:bCs/>
          <w:sz w:val="24"/>
          <w:szCs w:val="24"/>
          <w:rtl/>
        </w:rPr>
        <w:t>הלכה יג</w:t>
      </w:r>
    </w:p>
    <w:p w:rsidR="0081472D" w:rsidRDefault="0081472D" w:rsidP="0081472D">
      <w:pPr>
        <w:pStyle w:val="NoSpacing"/>
        <w:jc w:val="right"/>
        <w:rPr>
          <w:rFonts w:asciiTheme="majorBidi" w:hAnsiTheme="majorBidi" w:cs="Times New Roman"/>
          <w:sz w:val="24"/>
          <w:szCs w:val="24"/>
          <w:rtl/>
        </w:rPr>
      </w:pPr>
      <w:r w:rsidRPr="0081472D">
        <w:rPr>
          <w:rFonts w:asciiTheme="majorBidi" w:hAnsiTheme="majorBidi" w:cs="Times New Roman"/>
          <w:sz w:val="24"/>
          <w:szCs w:val="24"/>
          <w:rtl/>
        </w:rPr>
        <w:t>שפחה חרופה האמורה בתורה היא שחציה שפחה וחציה בת חורין ומקודשת לעבד עברי שנאמר לא יומתו כי לא חופשה הא אם נשתחררה כולה חייבין עליה מיתת ב"ד שהרי נעשית אשת איש גמורה כמו שביארנו בהלכות אישות</w:t>
      </w:r>
      <w:r w:rsidRPr="0081472D">
        <w:rPr>
          <w:rFonts w:asciiTheme="majorBidi" w:hAnsiTheme="majorBidi" w:cs="Times New Roman"/>
          <w:sz w:val="24"/>
          <w:szCs w:val="24"/>
        </w:rPr>
        <w:t>.</w:t>
      </w:r>
    </w:p>
    <w:p w:rsidR="00AF42ED" w:rsidRDefault="00AF42ED" w:rsidP="0081472D">
      <w:pPr>
        <w:pStyle w:val="NoSpacing"/>
        <w:jc w:val="right"/>
        <w:rPr>
          <w:rFonts w:asciiTheme="majorBidi" w:hAnsiTheme="majorBidi" w:cs="Times New Roman"/>
          <w:sz w:val="24"/>
          <w:szCs w:val="24"/>
          <w:rtl/>
        </w:rPr>
      </w:pPr>
    </w:p>
    <w:p w:rsidR="00AF42ED" w:rsidRPr="00AF42ED" w:rsidRDefault="00207E50" w:rsidP="0081472D">
      <w:pPr>
        <w:pStyle w:val="NoSpacing"/>
        <w:jc w:val="right"/>
        <w:rPr>
          <w:rFonts w:asciiTheme="majorBidi" w:hAnsiTheme="majorBidi" w:cs="Times New Roman"/>
          <w:b/>
          <w:bCs/>
          <w:sz w:val="24"/>
          <w:szCs w:val="24"/>
          <w:rtl/>
        </w:rPr>
      </w:pPr>
      <w:r>
        <w:rPr>
          <w:rFonts w:asciiTheme="majorBidi" w:hAnsiTheme="majorBidi" w:cs="Times New Roman" w:hint="cs"/>
          <w:b/>
          <w:bCs/>
          <w:sz w:val="24"/>
          <w:szCs w:val="24"/>
          <w:rtl/>
        </w:rPr>
        <w:t xml:space="preserve">5. </w:t>
      </w:r>
      <w:r w:rsidR="00AF42ED" w:rsidRPr="00AF42ED">
        <w:rPr>
          <w:rFonts w:asciiTheme="majorBidi" w:hAnsiTheme="majorBidi" w:cs="Times New Roman" w:hint="cs"/>
          <w:b/>
          <w:bCs/>
          <w:sz w:val="24"/>
          <w:szCs w:val="24"/>
          <w:rtl/>
        </w:rPr>
        <w:t>תיקו</w:t>
      </w:r>
    </w:p>
    <w:p w:rsidR="00AF42ED" w:rsidRDefault="00AF42ED" w:rsidP="0081472D">
      <w:pPr>
        <w:pStyle w:val="NoSpacing"/>
        <w:jc w:val="right"/>
        <w:rPr>
          <w:rFonts w:asciiTheme="majorBidi" w:hAnsiTheme="majorBidi" w:cs="Times New Roman"/>
          <w:sz w:val="24"/>
          <w:szCs w:val="24"/>
        </w:rPr>
      </w:pPr>
      <w:r w:rsidRPr="00AF42ED">
        <w:rPr>
          <w:rFonts w:asciiTheme="majorBidi" w:hAnsiTheme="majorBidi" w:cs="Times New Roman"/>
          <w:sz w:val="24"/>
          <w:szCs w:val="24"/>
          <w:rtl/>
        </w:rPr>
        <w:t>יש שדרשו את המילה, כראשי תיבות של "תשבי יתרץ קושיות ובעיות". שמשמעותן: השאלה תעמוד ותוכרע רק כאשר יבוא התשבי (אליהו הנביא)</w:t>
      </w:r>
    </w:p>
    <w:p w:rsidR="00BB06AA" w:rsidRDefault="00BB06AA" w:rsidP="0081472D">
      <w:pPr>
        <w:pStyle w:val="NoSpacing"/>
        <w:jc w:val="right"/>
        <w:rPr>
          <w:rFonts w:asciiTheme="majorBidi" w:hAnsiTheme="majorBidi" w:cs="Times New Roman"/>
          <w:sz w:val="24"/>
          <w:szCs w:val="24"/>
          <w:rtl/>
        </w:rPr>
      </w:pPr>
    </w:p>
    <w:p w:rsidR="00BB06AA" w:rsidRPr="00BB06AA" w:rsidRDefault="00BB06AA" w:rsidP="00BB06AA">
      <w:pPr>
        <w:pStyle w:val="NoSpacing"/>
        <w:jc w:val="right"/>
        <w:rPr>
          <w:rFonts w:asciiTheme="majorBidi" w:hAnsiTheme="majorBidi" w:cs="Times New Roman"/>
          <w:b/>
          <w:bCs/>
          <w:sz w:val="24"/>
          <w:szCs w:val="24"/>
          <w:rtl/>
        </w:rPr>
      </w:pPr>
      <w:r w:rsidRPr="00BB06AA">
        <w:rPr>
          <w:rFonts w:asciiTheme="majorBidi" w:hAnsiTheme="majorBidi" w:cs="Times New Roman"/>
          <w:b/>
          <w:bCs/>
          <w:sz w:val="24"/>
          <w:szCs w:val="24"/>
          <w:rtl/>
        </w:rPr>
        <w:t>חי' הרשב"א קידושין ו</w:t>
      </w:r>
      <w:r w:rsidRPr="00BB06AA">
        <w:rPr>
          <w:rFonts w:asciiTheme="majorBidi" w:hAnsiTheme="majorBidi" w:cs="Times New Roman"/>
          <w:b/>
          <w:bCs/>
          <w:sz w:val="24"/>
          <w:szCs w:val="24"/>
        </w:rPr>
        <w:t xml:space="preserve"> </w:t>
      </w:r>
      <w:r w:rsidR="00207E50">
        <w:rPr>
          <w:rFonts w:asciiTheme="majorBidi" w:hAnsiTheme="majorBidi" w:cs="Times New Roman" w:hint="cs"/>
          <w:b/>
          <w:bCs/>
          <w:sz w:val="24"/>
          <w:szCs w:val="24"/>
          <w:rtl/>
        </w:rPr>
        <w:t>6.</w:t>
      </w:r>
    </w:p>
    <w:p w:rsidR="00BB06AA" w:rsidRDefault="00BB06AA" w:rsidP="00BB06AA">
      <w:pPr>
        <w:pStyle w:val="NoSpacing"/>
        <w:jc w:val="right"/>
        <w:rPr>
          <w:rFonts w:asciiTheme="majorBidi" w:hAnsiTheme="majorBidi" w:cs="Times New Roman"/>
          <w:sz w:val="24"/>
          <w:szCs w:val="24"/>
          <w:rtl/>
        </w:rPr>
      </w:pPr>
      <w:r w:rsidRPr="00BB06AA">
        <w:rPr>
          <w:rFonts w:asciiTheme="majorBidi" w:hAnsiTheme="majorBidi" w:cs="Times New Roman"/>
          <w:sz w:val="24"/>
          <w:szCs w:val="24"/>
          <w:rtl/>
        </w:rPr>
        <w:t>במאי עסקינן אילימא בשאין מדבר עמה על עסקי גיטה וקדושיה מנא ידעה מאי קאמר. רש"י ז"ל פירשה אכולהו</w:t>
      </w:r>
      <w:r>
        <w:rPr>
          <w:rFonts w:asciiTheme="majorBidi" w:hAnsiTheme="majorBidi" w:cs="Times New Roman" w:hint="cs"/>
          <w:sz w:val="24"/>
          <w:szCs w:val="24"/>
          <w:rtl/>
        </w:rPr>
        <w:t xml:space="preserve"> </w:t>
      </w:r>
      <w:r w:rsidRPr="00BB06AA">
        <w:rPr>
          <w:rFonts w:asciiTheme="majorBidi" w:hAnsiTheme="majorBidi" w:cs="Times New Roman"/>
          <w:sz w:val="24"/>
          <w:szCs w:val="24"/>
          <w:rtl/>
        </w:rPr>
        <w:t>לישני ואפי' אהרי את לקוחתי וזקוקה לי דהוו לישני מעלי' דאי לא ידעה מאי קאמר לה ולא היו עסוקין מעיקרא בעסקי קדושין אינה מקודשת כלל</w:t>
      </w:r>
      <w:r>
        <w:rPr>
          <w:rFonts w:asciiTheme="majorBidi" w:hAnsiTheme="majorBidi" w:cs="Times New Roman" w:hint="cs"/>
          <w:sz w:val="24"/>
          <w:szCs w:val="24"/>
          <w:rtl/>
        </w:rPr>
        <w:t xml:space="preserve"> </w:t>
      </w:r>
      <w:r w:rsidRPr="00BB06AA">
        <w:rPr>
          <w:rFonts w:asciiTheme="majorBidi" w:hAnsiTheme="majorBidi" w:cs="Times New Roman"/>
          <w:sz w:val="24"/>
          <w:szCs w:val="24"/>
          <w:rtl/>
        </w:rPr>
        <w:t>דהיכי מקניא נפשא אי לא ידעה מאי קאמר לה, והרב בעל העיטור ז"ל כתב דהיכא דמקדש בלישנא מעליא אף על גב דאין עסוקין באותו ענין מקודשת</w:t>
      </w:r>
      <w:r>
        <w:rPr>
          <w:rFonts w:asciiTheme="majorBidi" w:hAnsiTheme="majorBidi" w:cs="Times New Roman" w:hint="cs"/>
          <w:sz w:val="24"/>
          <w:szCs w:val="24"/>
          <w:rtl/>
        </w:rPr>
        <w:t xml:space="preserve"> </w:t>
      </w:r>
      <w:r w:rsidRPr="00BB06AA">
        <w:rPr>
          <w:rFonts w:asciiTheme="majorBidi" w:hAnsiTheme="majorBidi" w:cs="Times New Roman"/>
          <w:sz w:val="24"/>
          <w:szCs w:val="24"/>
          <w:rtl/>
        </w:rPr>
        <w:t>אבל כי מקדש לה בהני לישני דמיבעיא לן היכא דאין עסוקין באותו ענין לאו כלום הוא, עסוקין באותו ענין בעיא ולא אפשיטא</w:t>
      </w:r>
    </w:p>
    <w:p w:rsidR="00BB06AA" w:rsidRDefault="00BB06AA" w:rsidP="00BB06AA">
      <w:pPr>
        <w:pStyle w:val="NoSpacing"/>
        <w:jc w:val="right"/>
        <w:rPr>
          <w:rFonts w:asciiTheme="majorBidi" w:hAnsiTheme="majorBidi" w:cs="Times New Roman"/>
          <w:sz w:val="24"/>
          <w:szCs w:val="24"/>
          <w:rtl/>
        </w:rPr>
      </w:pPr>
    </w:p>
    <w:p w:rsidR="00BB06AA" w:rsidRPr="00BB06AA" w:rsidRDefault="00207E50" w:rsidP="00BB06AA">
      <w:pPr>
        <w:pStyle w:val="NoSpacing"/>
        <w:jc w:val="right"/>
        <w:rPr>
          <w:rFonts w:asciiTheme="majorBidi" w:hAnsiTheme="majorBidi" w:cs="Times New Roman" w:hint="cs"/>
          <w:b/>
          <w:bCs/>
          <w:sz w:val="24"/>
          <w:szCs w:val="24"/>
          <w:rtl/>
        </w:rPr>
      </w:pPr>
      <w:r>
        <w:rPr>
          <w:rFonts w:asciiTheme="majorBidi" w:hAnsiTheme="majorBidi" w:cs="Times New Roman" w:hint="cs"/>
          <w:b/>
          <w:bCs/>
          <w:sz w:val="24"/>
          <w:szCs w:val="24"/>
          <w:rtl/>
        </w:rPr>
        <w:t xml:space="preserve">7. </w:t>
      </w:r>
      <w:bookmarkStart w:id="0" w:name="_GoBack"/>
      <w:bookmarkEnd w:id="0"/>
      <w:r w:rsidR="00BB06AA" w:rsidRPr="00BB06AA">
        <w:rPr>
          <w:rFonts w:asciiTheme="majorBidi" w:hAnsiTheme="majorBidi" w:cs="Times New Roman" w:hint="cs"/>
          <w:b/>
          <w:bCs/>
          <w:sz w:val="24"/>
          <w:szCs w:val="24"/>
          <w:rtl/>
        </w:rPr>
        <w:t>רא"ש א:ב</w:t>
      </w:r>
    </w:p>
    <w:p w:rsidR="00BB06AA" w:rsidRPr="0081472D" w:rsidRDefault="00BB06AA" w:rsidP="00BB06AA">
      <w:pPr>
        <w:pStyle w:val="NoSpacing"/>
        <w:jc w:val="right"/>
        <w:rPr>
          <w:rFonts w:asciiTheme="majorBidi" w:hAnsiTheme="majorBidi" w:cs="Times New Roman" w:hint="cs"/>
          <w:sz w:val="24"/>
          <w:szCs w:val="24"/>
          <w:rtl/>
        </w:rPr>
      </w:pPr>
      <w:r w:rsidRPr="00BB06AA">
        <w:rPr>
          <w:rFonts w:asciiTheme="majorBidi" w:hAnsiTheme="majorBidi" w:cs="Times New Roman"/>
          <w:sz w:val="24"/>
          <w:szCs w:val="24"/>
          <w:rtl/>
        </w:rPr>
        <w:t>אבל הני לישני דברירי לן דהוו לשון קידושין לאו כל כמיניה למימר לא הוי ידענא דהוו לשון קידושין</w:t>
      </w:r>
    </w:p>
    <w:sectPr w:rsidR="00BB06AA" w:rsidRPr="00814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2D"/>
    <w:rsid w:val="00207E50"/>
    <w:rsid w:val="00407D74"/>
    <w:rsid w:val="007370A9"/>
    <w:rsid w:val="0081472D"/>
    <w:rsid w:val="009320EF"/>
    <w:rsid w:val="00952C2D"/>
    <w:rsid w:val="00AF42ED"/>
    <w:rsid w:val="00BB06AA"/>
    <w:rsid w:val="00BB4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0118"/>
  <w15:chartTrackingRefBased/>
  <w15:docId w15:val="{BF7D278B-EA06-4B89-A7EC-D7629E6D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C2D"/>
    <w:pPr>
      <w:spacing w:after="0" w:line="240" w:lineRule="auto"/>
    </w:pPr>
  </w:style>
  <w:style w:type="paragraph" w:styleId="BalloonText">
    <w:name w:val="Balloon Text"/>
    <w:basedOn w:val="Normal"/>
    <w:link w:val="BalloonTextChar"/>
    <w:uiPriority w:val="99"/>
    <w:semiHidden/>
    <w:unhideWhenUsed/>
    <w:rsid w:val="00407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3186">
      <w:bodyDiv w:val="1"/>
      <w:marLeft w:val="0"/>
      <w:marRight w:val="0"/>
      <w:marTop w:val="0"/>
      <w:marBottom w:val="0"/>
      <w:divBdr>
        <w:top w:val="none" w:sz="0" w:space="0" w:color="auto"/>
        <w:left w:val="none" w:sz="0" w:space="0" w:color="auto"/>
        <w:bottom w:val="none" w:sz="0" w:space="0" w:color="auto"/>
        <w:right w:val="none" w:sz="0" w:space="0" w:color="auto"/>
      </w:divBdr>
      <w:divsChild>
        <w:div w:id="1376076829">
          <w:marLeft w:val="0"/>
          <w:marRight w:val="-45"/>
          <w:marTop w:val="0"/>
          <w:marBottom w:val="0"/>
          <w:divBdr>
            <w:top w:val="none" w:sz="0" w:space="0" w:color="auto"/>
            <w:left w:val="none" w:sz="0" w:space="0" w:color="auto"/>
            <w:bottom w:val="none" w:sz="0" w:space="0" w:color="auto"/>
            <w:right w:val="none" w:sz="0" w:space="0" w:color="auto"/>
          </w:divBdr>
        </w:div>
        <w:div w:id="791361791">
          <w:marLeft w:val="0"/>
          <w:marRight w:val="-45"/>
          <w:marTop w:val="0"/>
          <w:marBottom w:val="0"/>
          <w:divBdr>
            <w:top w:val="none" w:sz="0" w:space="0" w:color="auto"/>
            <w:left w:val="none" w:sz="0" w:space="0" w:color="auto"/>
            <w:bottom w:val="none" w:sz="0" w:space="0" w:color="auto"/>
            <w:right w:val="none" w:sz="0" w:space="0" w:color="auto"/>
          </w:divBdr>
        </w:div>
        <w:div w:id="742222588">
          <w:marLeft w:val="0"/>
          <w:marRight w:val="-45"/>
          <w:marTop w:val="0"/>
          <w:marBottom w:val="0"/>
          <w:divBdr>
            <w:top w:val="none" w:sz="0" w:space="0" w:color="auto"/>
            <w:left w:val="none" w:sz="0" w:space="0" w:color="auto"/>
            <w:bottom w:val="none" w:sz="0" w:space="0" w:color="auto"/>
            <w:right w:val="none" w:sz="0" w:space="0" w:color="auto"/>
          </w:divBdr>
        </w:div>
        <w:div w:id="1548908413">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Axelrod</dc:creator>
  <cp:keywords/>
  <dc:description/>
  <cp:lastModifiedBy>Rabbi Axelrod</cp:lastModifiedBy>
  <cp:revision>4</cp:revision>
  <cp:lastPrinted>2016-11-24T01:44:00Z</cp:lastPrinted>
  <dcterms:created xsi:type="dcterms:W3CDTF">2016-11-23T22:15:00Z</dcterms:created>
  <dcterms:modified xsi:type="dcterms:W3CDTF">2016-12-08T01:45:00Z</dcterms:modified>
</cp:coreProperties>
</file>