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45B3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2FC04F4" w14:textId="7E416C4D" w:rsidR="009F4441" w:rsidRDefault="00060B98" w:rsidP="009F4441">
      <w:pPr>
        <w:pStyle w:val="Subtitle"/>
        <w:rPr>
          <w:rtl/>
        </w:rPr>
      </w:pPr>
      <w:r>
        <w:rPr>
          <w:rFonts w:hint="cs"/>
          <w:rtl/>
        </w:rPr>
        <w:t>רב מנגיד, מכת מרדות, רופא שקלקל</w:t>
      </w:r>
      <w:r>
        <w:rPr>
          <w:rtl/>
        </w:rPr>
        <w:br/>
      </w:r>
      <w:r>
        <w:rPr>
          <w:rFonts w:hint="cs"/>
          <w:rtl/>
        </w:rPr>
        <w:t>דינא דמלכותא, ג'סטרו</w:t>
      </w:r>
    </w:p>
    <w:p w14:paraId="3F9063F6" w14:textId="78B8CE78" w:rsidR="003D3985" w:rsidRDefault="003D3985" w:rsidP="003D41CA">
      <w:pPr>
        <w:pStyle w:val="Heading1"/>
        <w:tabs>
          <w:tab w:val="left" w:pos="1463"/>
        </w:tabs>
        <w:rPr>
          <w:rtl/>
        </w:rPr>
      </w:pPr>
      <w:r>
        <w:rPr>
          <w:rFonts w:hint="cs"/>
          <w:rtl/>
        </w:rPr>
        <w:t>אפקעינהו</w:t>
      </w:r>
      <w:r w:rsidR="00462314">
        <w:rPr>
          <w:rFonts w:hint="cs"/>
        </w:rPr>
        <w:t xml:space="preserve"> </w:t>
      </w:r>
      <w:r w:rsidR="00462314">
        <w:rPr>
          <w:rFonts w:hint="cs"/>
          <w:rtl/>
        </w:rPr>
        <w:t xml:space="preserve">בזמן הזה </w:t>
      </w:r>
      <w:r w:rsidR="00462314">
        <w:rPr>
          <w:rtl/>
        </w:rPr>
        <w:t>–</w:t>
      </w:r>
      <w:r w:rsidR="00462314">
        <w:rPr>
          <w:rFonts w:hint="cs"/>
          <w:rtl/>
        </w:rPr>
        <w:t xml:space="preserve"> עיצת המהרש"ם</w:t>
      </w:r>
    </w:p>
    <w:p w14:paraId="01EE63CC" w14:textId="32C6353A" w:rsidR="009E38FB" w:rsidRDefault="009E38FB" w:rsidP="003D3985">
      <w:pPr>
        <w:pStyle w:val="Heading2"/>
        <w:rPr>
          <w:rtl/>
        </w:rPr>
      </w:pPr>
      <w:r>
        <w:rPr>
          <w:rFonts w:hint="cs"/>
          <w:rtl/>
        </w:rPr>
        <w:t>קידושין יג.</w:t>
      </w:r>
    </w:p>
    <w:p w14:paraId="78F4BBF2" w14:textId="67105E95" w:rsidR="009E38FB" w:rsidRPr="009E38FB" w:rsidRDefault="009E38FB" w:rsidP="009E38FB">
      <w:pPr>
        <w:pStyle w:val="Heading2"/>
        <w:rPr>
          <w:rtl/>
        </w:rPr>
      </w:pPr>
      <w:r>
        <w:rPr>
          <w:rFonts w:hint="cs"/>
          <w:rtl/>
        </w:rPr>
        <w:t>תוספות גיטין לג. ד"ה ואפקעינהו</w:t>
      </w:r>
    </w:p>
    <w:p w14:paraId="258123F7" w14:textId="2C9F9A47" w:rsidR="003D3985" w:rsidRDefault="003D3985" w:rsidP="003D3985">
      <w:pPr>
        <w:pStyle w:val="Heading2"/>
        <w:rPr>
          <w:rtl/>
        </w:rPr>
      </w:pPr>
      <w:r w:rsidRPr="003D3985">
        <w:rPr>
          <w:rFonts w:hint="cs"/>
          <w:rtl/>
        </w:rPr>
        <w:t>שו"ת מהרש"ם חלק א סימן ט</w:t>
      </w:r>
      <w:r w:rsidR="00C45650">
        <w:rPr>
          <w:rStyle w:val="FootnoteReference"/>
          <w:rtl/>
        </w:rPr>
        <w:footnoteReference w:id="1"/>
      </w:r>
    </w:p>
    <w:p w14:paraId="37D68D42" w14:textId="4FA729BF" w:rsidR="00315DD8" w:rsidRPr="00315DD8" w:rsidRDefault="00315DD8" w:rsidP="00315DD8">
      <w:pPr>
        <w:rPr>
          <w:rtl/>
        </w:rPr>
      </w:pPr>
      <w:r>
        <w:rPr>
          <w:rFonts w:hint="cs"/>
          <w:rtl/>
        </w:rPr>
        <w:t>...</w:t>
      </w:r>
      <w:r w:rsidRPr="00315DD8">
        <w:rPr>
          <w:rtl/>
        </w:rPr>
        <w:t>ולא אכחד כי אם היה כת"ר מתייעץ עמי, טרם שעשו מעשה גירושין של בעל הראשון, הייתי ממציא עצה ותושיה להלכה ולא למעשה ע"פ דברי התוס' גיטין (ל"ג ע"א) ד"ה ואפקעינהו וכו'. שהקשה הר"ש: א"כ יחפה על בת אחותו, דכשיבואו עדים שזינתה ישלח לה גט ע"י שליח, ויבטלנו שלא בפני שליח, ופקעו קידושין? (וע"ש בתוס' ל"ב ע"ב ד"ה ור"נ וכו' דגם לרבי, מודה בבטלו בפני א', לר"נ אינו מבוטל לכ"ע). וחי' הר"י: דכיון דכדין מחפה אין לחוש. ושם בסוה"ד תי' עוד: דהיכא דידעי' דלכך מתכוון, לא מפקעינן קידושין, דלתקנה עשו חכמים ולא לתקלה, שמתוך כך יהיו בנות ישראל פרוצין בעריות ע"ש. וא"כ, לא מיבעיא לתי' הראשון, פשיטא שהי' מועיל בנ"ד להכשיר הממזר למפרע, באופן זה, שישלח לה גט על ידי שליח ויבטלנו בפני ע"א. וגם לתי' ב', י"ל: דבכה"ג שעשתה בטעות על פי ב"ד, אין בזה חשש תקלה, ושפיר הפקיעו הקידושין למפרע. וע"ש ברשב"א ואס"ז כתובות ג', שתי' עוד, דע"י הפקעת קידושין גמר ויהיב גיטא. אבל יש מקום לסמוך ע"ד התוס' וש"פ שלא תי' כן. ועוד די"ל דבנ"ד שיעשה כן בעצת ב"ד, גם הרשב"א מודה. ואף די"ל, דכיון שיעשה כל בעילותיו ביאת זנות, אאל"ח =אין אומרים לאדם, חטא= כדי שיזכה חבירך, כיון דמחזקינן לה כמזידה בשביל שלא דייקא, דמה"ט תצא מבעלה. אם כן בפשעה הרי קיי"ל דאאל"ח, ועתוס' שבת דף ד', ועוד בכמ"ק, ובתשו' נו"ב מ"ת א"ע סי' ל"ז, מ"ש בדעת רשב"א בזה. אך לפמ"ש הב"ש סי' קנ"ז סוסק"ו, דבכה"ג ליכא משום ב"ז, ור"ל כיון שהוא בעל בהיתר, ולא היה לו לחוש שמא יזדמן אח"כ סיבה לבטל הקידושין, ע"ש ותבין. אם כן ה"נ בזה. וע"ש בב"ח בביאור היטב ד"ז. ובפרט בשו"ת מעיל צדקה סי' ב', וע"ע בשו"ת כתב סופר חא"ע סי' ע"ה. אולם בנ"ד שכבר נעשו מעשה הגירושין אין חכמה ואין עצה ותושיה.</w:t>
      </w:r>
      <w:r>
        <w:rPr>
          <w:rFonts w:hint="cs"/>
          <w:rtl/>
        </w:rPr>
        <w:t>..</w:t>
      </w:r>
    </w:p>
    <w:p w14:paraId="6956D26A" w14:textId="6CDB992E" w:rsidR="009F4441" w:rsidRDefault="003D41CA" w:rsidP="003D41CA">
      <w:pPr>
        <w:pStyle w:val="Heading1"/>
        <w:tabs>
          <w:tab w:val="left" w:pos="1463"/>
        </w:tabs>
        <w:rPr>
          <w:rtl/>
        </w:rPr>
      </w:pPr>
      <w:r>
        <w:rPr>
          <w:rFonts w:hint="cs"/>
          <w:rtl/>
        </w:rPr>
        <w:t>מכת מרדות</w:t>
      </w:r>
    </w:p>
    <w:p w14:paraId="42D31B2D" w14:textId="77777777" w:rsidR="009F4441" w:rsidRDefault="003D41CA" w:rsidP="009F4441">
      <w:pPr>
        <w:pStyle w:val="Heading2"/>
        <w:rPr>
          <w:rtl/>
        </w:rPr>
      </w:pPr>
      <w:r>
        <w:rPr>
          <w:rFonts w:hint="cs"/>
          <w:rtl/>
        </w:rPr>
        <w:t>מגן אברהם תצו:ב</w:t>
      </w:r>
    </w:p>
    <w:p w14:paraId="37C6720D" w14:textId="3DFF4748" w:rsidR="000C25FD" w:rsidRDefault="003D41CA">
      <w:pPr>
        <w:rPr>
          <w:rtl/>
        </w:rPr>
      </w:pPr>
      <w:r w:rsidRPr="003D41CA">
        <w:rPr>
          <w:rtl/>
        </w:rPr>
        <w:t>מלקין אותו. פי' מכת מרדות כת' מהרא"י בביאור רש"י ס"פ כי תצא שהוא י"ג מכות ע"ש וברמב"ם לא משמע כן:</w:t>
      </w:r>
    </w:p>
    <w:p w14:paraId="6EC313FB" w14:textId="77777777" w:rsidR="00E81182" w:rsidRPr="00447B1C" w:rsidRDefault="00E81182" w:rsidP="00E81182">
      <w:pPr>
        <w:pStyle w:val="Heading1"/>
        <w:rPr>
          <w:rtl/>
        </w:rPr>
      </w:pPr>
      <w:bookmarkStart w:id="0" w:name="_Toc467612257"/>
      <w:r w:rsidRPr="00447B1C">
        <w:rPr>
          <w:rFonts w:hint="cs"/>
          <w:rtl/>
        </w:rPr>
        <w:t>טעות בדבר משנה</w:t>
      </w:r>
      <w:r>
        <w:rPr>
          <w:rFonts w:hint="cs"/>
          <w:rtl/>
        </w:rPr>
        <w:t>, טעות בשיקול הדעת, רשות</w:t>
      </w:r>
      <w:bookmarkEnd w:id="0"/>
      <w:r>
        <w:rPr>
          <w:rFonts w:hint="cs"/>
          <w:rtl/>
        </w:rPr>
        <w:t>, רופא שקלקל</w:t>
      </w:r>
    </w:p>
    <w:p w14:paraId="4CE2643E" w14:textId="77777777" w:rsidR="00E81182" w:rsidRDefault="00E81182" w:rsidP="00E81182">
      <w:pPr>
        <w:pStyle w:val="Heading2"/>
        <w:rPr>
          <w:shd w:val="clear" w:color="auto" w:fill="FFFFFF"/>
          <w:rtl/>
        </w:rPr>
      </w:pPr>
      <w:r w:rsidRPr="00447B1C">
        <w:rPr>
          <w:rFonts w:hint="cs"/>
          <w:shd w:val="clear" w:color="auto" w:fill="FFFFFF"/>
          <w:rtl/>
        </w:rPr>
        <w:t>סנהדרין לג.</w:t>
      </w:r>
    </w:p>
    <w:p w14:paraId="242C7345" w14:textId="77777777" w:rsidR="00E81182" w:rsidRDefault="00E81182" w:rsidP="00E81182">
      <w:pPr>
        <w:pStyle w:val="Heading2"/>
        <w:rPr>
          <w:rtl/>
        </w:rPr>
      </w:pPr>
      <w:r>
        <w:rPr>
          <w:rFonts w:hint="cs"/>
          <w:rtl/>
        </w:rPr>
        <w:t>חידושי הר"ן שם</w:t>
      </w:r>
    </w:p>
    <w:p w14:paraId="584EE240" w14:textId="77777777" w:rsidR="00E81182" w:rsidRDefault="00E81182" w:rsidP="00E81182">
      <w:pPr>
        <w:pStyle w:val="Heading2"/>
        <w:rPr>
          <w:rtl/>
        </w:rPr>
      </w:pPr>
      <w:r>
        <w:rPr>
          <w:rFonts w:hint="cs"/>
          <w:rtl/>
        </w:rPr>
        <w:t>נפש הרב עמ' רסא</w:t>
      </w:r>
    </w:p>
    <w:p w14:paraId="654A9654" w14:textId="77777777" w:rsidR="00E81182" w:rsidRPr="00C24261" w:rsidRDefault="00E81182" w:rsidP="00E81182">
      <w:pPr>
        <w:pStyle w:val="Heading2"/>
        <w:rPr>
          <w:rtl/>
        </w:rPr>
      </w:pPr>
      <w:r>
        <w:rPr>
          <w:rFonts w:hint="cs"/>
          <w:rtl/>
        </w:rPr>
        <w:t>סנהדרין ג:</w:t>
      </w:r>
    </w:p>
    <w:p w14:paraId="7975EFA0" w14:textId="77777777" w:rsidR="00E81182" w:rsidRDefault="00E81182" w:rsidP="00E81182">
      <w:pPr>
        <w:pStyle w:val="Heading2"/>
        <w:rPr>
          <w:rtl/>
        </w:rPr>
      </w:pPr>
      <w:r>
        <w:rPr>
          <w:rFonts w:hint="cs"/>
          <w:rtl/>
        </w:rPr>
        <w:t xml:space="preserve">ספר תורת האדם שער המיחוש </w:t>
      </w:r>
      <w:r>
        <w:rPr>
          <w:rtl/>
        </w:rPr>
        <w:t>–</w:t>
      </w:r>
      <w:r>
        <w:rPr>
          <w:rFonts w:hint="cs"/>
          <w:rtl/>
        </w:rPr>
        <w:t xml:space="preserve"> ענין המיחוש (ו)</w:t>
      </w:r>
    </w:p>
    <w:p w14:paraId="3C76C888" w14:textId="77777777" w:rsidR="00E81182" w:rsidRDefault="00E81182" w:rsidP="00BF3021">
      <w:pPr>
        <w:rPr>
          <w:rtl/>
        </w:rPr>
      </w:pPr>
      <w:r>
        <w:rPr>
          <w:rtl/>
        </w:rPr>
        <w:lastRenderedPageBreak/>
        <w:t>בפרק החובל (פה</w:t>
      </w:r>
      <w:r>
        <w:rPr>
          <w:rFonts w:hint="cs"/>
          <w:rtl/>
        </w:rPr>
        <w:t>:</w:t>
      </w:r>
      <w:r w:rsidRPr="00084690">
        <w:rPr>
          <w:rtl/>
        </w:rPr>
        <w:t>) תנא דבי ר' ישמעאל ורפא ירפא מכאן שניתנה רשות לרופא לרפאות. פי' שמא יאמר הרופא מה לי בצער הזה שמא אטעה ונמצאתי הורג נפשות בשוגג לפיכך נתנה לו תורה רשות לרפאות. וקשיא לי הא דתניא בתוספתא (ב"ק פ"ט) רופא אומן שרפא ברשות ב"ד והזיק ה"ז גולה, אלמא עונש שוגג יש בדבר, ויש לומר הכי, הרופא כדיין מצווה לדון, ואם טעה בלא הודע אין עליו ע</w:t>
      </w:r>
      <w:r>
        <w:rPr>
          <w:rtl/>
        </w:rPr>
        <w:t>ונש כלל, כדאמרינן (סנהדרין ו</w:t>
      </w:r>
      <w:r>
        <w:rPr>
          <w:rFonts w:hint="cs"/>
          <w:rtl/>
        </w:rPr>
        <w:t>:</w:t>
      </w:r>
      <w:r w:rsidRPr="00084690">
        <w:rPr>
          <w:rtl/>
        </w:rPr>
        <w:t>) שמא יאמר הדיין מה לי בצער הזה ת"ל עמכם בדבר המשפט אין לדיין אלא מה שעיניו רואות, ואעפ"כ אם טעה ונודע לב"ד שטעה משלם מביתו על הדרכים הידועים בו, ואע"ג דהתם אם דן ברשות ב"ד פטור, אף כאן מדיני אדם פטור מן התשלומין אלא שאינו פטור מדיני שמים עד שישלם הנזק ויגלה על המיתה, הואיל ונודע שטעה והזיק או המית בידים. וכן אמרו בתוספתא דב"ק (פ"ו ה"ו) גבי פטורים מדיני אדם וחייבין בדיני שמים, רופא אומן שריפא ברשות ב"ד פטור מדיני אדם ודינו מסור לשמים, ומ"מ בלא הודע שלו אינו חייב כלום כמו שהדיין פטור לגמרי בין מדיני אדם בין מעונש שמים, והוא שיזהר כמו שראוי ליזהר בדיני נפשות ולא יזיק בפשיעה כלל.</w:t>
      </w:r>
    </w:p>
    <w:p w14:paraId="33F7E98A" w14:textId="77777777" w:rsidR="00E81182" w:rsidRPr="00FE6080" w:rsidRDefault="00E81182" w:rsidP="00E81182">
      <w:pPr>
        <w:pStyle w:val="Heading2"/>
      </w:pPr>
      <w:r w:rsidRPr="00FE6080">
        <w:rPr>
          <w:rtl/>
        </w:rPr>
        <w:t xml:space="preserve">אור שמח הלכות רוצח ושמירת הנפש פרק ה:ו </w:t>
      </w:r>
    </w:p>
    <w:p w14:paraId="48C72EB2" w14:textId="0C866800" w:rsidR="00E81182" w:rsidRDefault="00E81182" w:rsidP="00E81182">
      <w:pPr>
        <w:rPr>
          <w:rtl/>
        </w:rPr>
      </w:pPr>
      <w:r>
        <w:rPr>
          <w:rFonts w:hint="cs"/>
          <w:rtl/>
        </w:rPr>
        <w:t xml:space="preserve">... </w:t>
      </w:r>
      <w:r w:rsidRPr="00FE6080">
        <w:rPr>
          <w:rtl/>
        </w:rPr>
        <w:t>ובב"ק פ"ט (ה"ג) שליח ב"ד שהכה ברשות ב"ד והזיק פטור, חבל יותר וכו', רופא אומן שריפא ברשות ב"ד והזיק פטור, ושם האב המכה את בנו והרב תלמידו כו' פטורין כו' ובפרק ו' (ה"ו) המחתך העובר ברשות ב"ד והזיק פטור מדיני אדם כו', רופא אומן שריפא ברשות ב"ד והזיק פטור</w:t>
      </w:r>
      <w:r w:rsidR="006713BE">
        <w:t xml:space="preserve"> </w:t>
      </w:r>
      <w:r w:rsidRPr="00FE6080">
        <w:rPr>
          <w:rtl/>
        </w:rPr>
        <w:t>מד"א, (שם ה"ב) שליח ב"ד שהכה והזיק [ברשות ב"ד] פטור מד"א, והך דפרק ט' מיירי לענין ד' דברים דפטור, כיון דהוא כשוגג, ולא כנתכוין להזיק, לכן אף האב פטור,</w:t>
      </w:r>
      <w:r>
        <w:rPr>
          <w:rFonts w:hint="cs"/>
          <w:rtl/>
        </w:rPr>
        <w:t xml:space="preserve"> </w:t>
      </w:r>
      <w:r w:rsidRPr="00FE6080">
        <w:rPr>
          <w:rtl/>
        </w:rPr>
        <w:t>שהכהו ללמוד, ופטורים לגמרי, והך דפרק ו' מיירי בנזק, דחייבין בדיני שמים, ואב ורבו חייבין לגמרי גם בדיני אדם, אבל רופא אומן ומחתך עובר ושליח ב"ד פטורים בדיני</w:t>
      </w:r>
      <w:r>
        <w:rPr>
          <w:rFonts w:hint="cs"/>
          <w:rtl/>
        </w:rPr>
        <w:t xml:space="preserve"> </w:t>
      </w:r>
      <w:r w:rsidRPr="00FE6080">
        <w:rPr>
          <w:rtl/>
        </w:rPr>
        <w:t>אדם, כדמפרש טעמא בתוספתא גיטין פ"ג (הי"ג) דחשיב כולהו דשוגג פטור מזיד חייב מפני תקון העולם, יעו"ש, אבל מדינא חייבין ככל שוגג בנזיקין, ואף ברשות דמצוה</w:t>
      </w:r>
      <w:r>
        <w:rPr>
          <w:rFonts w:hint="cs"/>
          <w:rtl/>
        </w:rPr>
        <w:t xml:space="preserve"> </w:t>
      </w:r>
      <w:r w:rsidRPr="00FE6080">
        <w:rPr>
          <w:rtl/>
        </w:rPr>
        <w:t>חייב גם בנזקי ממון שלהם, דלא קיי"ל כר' יהודה (ב"ק ס"ב ע"ב) דפוטר בנר חנוכה, ומכש"כ בנזקי גופו, דאדם מועד לעולם (שם כ"ו ע"א), ואינו דומה לטעה ודן הדין,</w:t>
      </w:r>
      <w:r>
        <w:rPr>
          <w:rFonts w:hint="cs"/>
          <w:rtl/>
        </w:rPr>
        <w:t xml:space="preserve"> </w:t>
      </w:r>
      <w:r w:rsidRPr="00FE6080">
        <w:rPr>
          <w:rtl/>
        </w:rPr>
        <w:t>ובתורת האדם השוה אותן, וכ"ז תמוה, ודוק:</w:t>
      </w:r>
    </w:p>
    <w:p w14:paraId="055E5958" w14:textId="0BF62FC7" w:rsidR="00E81182" w:rsidRDefault="00496872" w:rsidP="00496872">
      <w:pPr>
        <w:pStyle w:val="Heading2"/>
      </w:pPr>
      <w:r>
        <w:rPr>
          <w:rFonts w:hint="cs"/>
          <w:rtl/>
        </w:rPr>
        <w:t>ארץ הצבי עמ' קעב</w:t>
      </w:r>
    </w:p>
    <w:p w14:paraId="7E93A3B4" w14:textId="07E116A7" w:rsidR="009308B8" w:rsidRDefault="009308B8" w:rsidP="009308B8">
      <w:pPr>
        <w:pStyle w:val="Heading2"/>
        <w:rPr>
          <w:rtl/>
        </w:rPr>
      </w:pPr>
      <w:r>
        <w:rPr>
          <w:rFonts w:hint="cs"/>
          <w:rtl/>
        </w:rPr>
        <w:t>ערוך השלחן יורה דעה שלו:ב</w:t>
      </w:r>
    </w:p>
    <w:p w14:paraId="612EBEF6" w14:textId="367AEEB1" w:rsidR="009308B8" w:rsidRPr="009308B8" w:rsidRDefault="009308B8" w:rsidP="009308B8">
      <w:r w:rsidRPr="009308B8">
        <w:rPr>
          <w:rtl/>
        </w:rPr>
        <w:t>ומיהו אסור להתעסק ברפואות אא"כ הוא בקי ויש לו רשות מב"ד והאידנא צריך להיות מוסמך מהממשלה שיש לו רשות ליתן רפואות</w:t>
      </w:r>
      <w:bookmarkStart w:id="1" w:name="_GoBack"/>
      <w:bookmarkEnd w:id="1"/>
      <w:r w:rsidRPr="009308B8">
        <w:rPr>
          <w:rtl/>
        </w:rPr>
        <w:t xml:space="preserve"> לחולאים וגם לא יהא שם גדול ממנו שאל"כ כשהזיק הרי הוא שופך דמים ואם ריפא שלא ברשות ב"ד והממשלה חייב בתשלומין אפילו הוא בקי אם החולה נתנזק על ידו וצריך להוציא ממון על רפואות וכ"ש אם מת על ידו ה"ז כהורג נפש במזיד אבל אם ריפא ברשות וטעה והזיק פטור מדיני אדם וחייב ובדיני שמים אם היתה ע"י התרשלותו ולא עיין יפה דאם עיין אין לו שום חטא שהרי מצוה לרפאות וכבר אמר החכם שגגת הרופא כונת הבורא ואם מת ע"י רפואותיו ונודע לו ששגג ה"ז גולה על ידו כשיש לו מקום לתלות שהוא גרם לו ע"י התרשלות או שלא עיין יפה אבל בלא זה נ"ל דאינו חייב גלות דמי גרע מאב המכה את בנו והרב את תלמידו דפטור מגלות [כנלע"ד לפרש התוספתא ודברי הרמב"ן שהביאו הטור והש"ע ועי' ב"י ודו"ק]:</w:t>
      </w:r>
    </w:p>
    <w:p w14:paraId="46C618D8" w14:textId="7465C5F1" w:rsidR="00B24473" w:rsidRDefault="00B24473" w:rsidP="00B24473">
      <w:pPr>
        <w:pStyle w:val="Heading1"/>
        <w:rPr>
          <w:rtl/>
        </w:rPr>
      </w:pPr>
      <w:r>
        <w:rPr>
          <w:rFonts w:hint="cs"/>
          <w:rtl/>
        </w:rPr>
        <w:t>מילון ג'ס</w:t>
      </w:r>
      <w:r w:rsidR="00791C88">
        <w:rPr>
          <w:rFonts w:hint="cs"/>
          <w:rtl/>
        </w:rPr>
        <w:t>ט</w:t>
      </w:r>
      <w:r>
        <w:rPr>
          <w:rFonts w:hint="cs"/>
          <w:rtl/>
        </w:rPr>
        <w:t>רו (</w:t>
      </w:r>
      <w:r>
        <w:t>Jastrow</w:t>
      </w:r>
      <w:r>
        <w:rPr>
          <w:rFonts w:hint="cs"/>
          <w:rtl/>
        </w:rPr>
        <w:t>)</w:t>
      </w:r>
    </w:p>
    <w:p w14:paraId="09E54833" w14:textId="72FFBEDA" w:rsidR="009757CB" w:rsidRPr="00C221BF" w:rsidRDefault="009757CB" w:rsidP="00A64638">
      <w:pPr>
        <w:pStyle w:val="Heading2"/>
        <w:rPr>
          <w:sz w:val="22"/>
          <w:szCs w:val="22"/>
          <w:rtl/>
        </w:rPr>
      </w:pPr>
      <w:r>
        <w:t>Jastrow Dictionary</w:t>
      </w:r>
      <w:r>
        <w:rPr>
          <w:rFonts w:hint="cs"/>
          <w:rtl/>
        </w:rPr>
        <w:t xml:space="preserve"> </w:t>
      </w:r>
      <w:r w:rsidRPr="00C221BF">
        <w:rPr>
          <w:rFonts w:hint="cs"/>
          <w:sz w:val="22"/>
          <w:szCs w:val="22"/>
          <w:rtl/>
        </w:rPr>
        <w:t>(</w:t>
      </w:r>
      <w:hyperlink r:id="rId6" w:history="1">
        <w:r w:rsidRPr="00C221BF">
          <w:rPr>
            <w:rStyle w:val="Hyperlink"/>
            <w:rFonts w:hint="cs"/>
            <w:sz w:val="22"/>
            <w:szCs w:val="22"/>
            <w:rtl/>
          </w:rPr>
          <w:t>קישור</w:t>
        </w:r>
      </w:hyperlink>
      <w:r w:rsidRPr="00C221BF">
        <w:rPr>
          <w:rFonts w:hint="cs"/>
          <w:sz w:val="22"/>
          <w:szCs w:val="22"/>
          <w:rtl/>
        </w:rPr>
        <w:t>)</w:t>
      </w:r>
    </w:p>
    <w:p w14:paraId="0785C77C" w14:textId="4BC57470" w:rsidR="007F0A94" w:rsidRPr="007F0A94" w:rsidRDefault="00A64638" w:rsidP="00261A1B">
      <w:pPr>
        <w:pStyle w:val="Heading2"/>
      </w:pPr>
      <w:r>
        <w:rPr>
          <w:rFonts w:hint="cs"/>
          <w:rtl/>
        </w:rPr>
        <w:t>מועד קטן יז.</w:t>
      </w:r>
    </w:p>
    <w:p w14:paraId="7BD21983" w14:textId="4615954E" w:rsidR="00B24473" w:rsidRDefault="00B24473" w:rsidP="00B24473">
      <w:pPr>
        <w:pStyle w:val="Heading2"/>
        <w:rPr>
          <w:sz w:val="22"/>
          <w:szCs w:val="22"/>
          <w:rtl/>
        </w:rPr>
      </w:pPr>
      <w:r w:rsidRPr="00B24473">
        <w:t>HALACHAH AND THE FALLEN RABBI: Q &amp; A WITH RABBI HERSHEL SCHACHTER</w:t>
      </w:r>
      <w:r>
        <w:rPr>
          <w:rFonts w:hint="cs"/>
          <w:rtl/>
        </w:rPr>
        <w:t xml:space="preserve"> </w:t>
      </w:r>
      <w:r w:rsidRPr="00B24473">
        <w:rPr>
          <w:rFonts w:hint="cs"/>
          <w:sz w:val="22"/>
          <w:szCs w:val="22"/>
          <w:rtl/>
        </w:rPr>
        <w:t>(</w:t>
      </w:r>
      <w:hyperlink r:id="rId7" w:history="1">
        <w:r w:rsidRPr="00B24473">
          <w:rPr>
            <w:rStyle w:val="Hyperlink"/>
            <w:rFonts w:hint="cs"/>
            <w:sz w:val="22"/>
            <w:szCs w:val="22"/>
            <w:rtl/>
          </w:rPr>
          <w:t>קישור</w:t>
        </w:r>
      </w:hyperlink>
      <w:r w:rsidRPr="00B24473">
        <w:rPr>
          <w:rFonts w:hint="cs"/>
          <w:sz w:val="22"/>
          <w:szCs w:val="22"/>
          <w:rtl/>
        </w:rPr>
        <w:t>)</w:t>
      </w:r>
    </w:p>
    <w:p w14:paraId="450DB31E" w14:textId="1F0120C1" w:rsidR="00C57364" w:rsidRDefault="007F0A94" w:rsidP="007F0A94">
      <w:pPr>
        <w:pStyle w:val="Heading1"/>
        <w:rPr>
          <w:rtl/>
        </w:rPr>
      </w:pPr>
      <w:r>
        <w:rPr>
          <w:rFonts w:hint="cs"/>
          <w:rtl/>
        </w:rPr>
        <w:t>לישון בבית משודכתו</w:t>
      </w:r>
    </w:p>
    <w:p w14:paraId="3639FC71" w14:textId="7C35DA4A" w:rsidR="00336904" w:rsidRDefault="00336904" w:rsidP="006A2C8C">
      <w:pPr>
        <w:pStyle w:val="Heading2"/>
      </w:pPr>
      <w:r>
        <w:rPr>
          <w:rFonts w:hint="cs"/>
          <w:rtl/>
        </w:rPr>
        <w:t>קידושין יב:</w:t>
      </w:r>
    </w:p>
    <w:p w14:paraId="07931DCE" w14:textId="7BE5B411" w:rsidR="004E452F" w:rsidRDefault="004E452F" w:rsidP="006A2C8C">
      <w:pPr>
        <w:pStyle w:val="Heading2"/>
        <w:rPr>
          <w:rtl/>
        </w:rPr>
      </w:pPr>
      <w:r>
        <w:rPr>
          <w:rFonts w:hint="cs"/>
          <w:rtl/>
        </w:rPr>
        <w:t>שלחן ערוך אבן העזר נה:א</w:t>
      </w:r>
    </w:p>
    <w:p w14:paraId="49AD3FC0" w14:textId="5353EF02" w:rsidR="004E452F" w:rsidRPr="004E452F" w:rsidRDefault="004E452F" w:rsidP="004E452F">
      <w:pPr>
        <w:rPr>
          <w:sz w:val="18"/>
          <w:szCs w:val="18"/>
          <w:rtl/>
        </w:rPr>
      </w:pPr>
      <w:r>
        <w:rPr>
          <w:rtl/>
        </w:rPr>
        <w:t>הארוסה,</w:t>
      </w:r>
      <w:r w:rsidRPr="004E452F">
        <w:rPr>
          <w:rtl/>
        </w:rPr>
        <w:t xml:space="preserve"> אסורה לבעלה מדברי סופרים, כל זמן שהיא בבית אביה; והבא על ארוסתו בבית חמיו, </w:t>
      </w:r>
      <w:r>
        <w:rPr>
          <w:rtl/>
        </w:rPr>
        <w:t xml:space="preserve">מכין אותו מכת מרדות. </w:t>
      </w:r>
      <w:r w:rsidRPr="004E452F">
        <w:rPr>
          <w:sz w:val="18"/>
          <w:szCs w:val="18"/>
          <w:rtl/>
        </w:rPr>
        <w:t>הגה: ואפילו ביחוד, אסורים; ולכן ארוס שהוא עם ארוסתו בבית א', מברכין ז' ברכות פן יתייחדו (מרדכי פ"ק דכתובות). וי"א דאין להם לדור ביחד, שמא יקוצו זה בזה (כל בו). ואפילו בשדוכין בלא ארוסין יש לחוש (חידושי אגודה פרק קמא דכתובות).</w:t>
      </w:r>
      <w:r w:rsidR="00E274E5">
        <w:rPr>
          <w:rFonts w:hint="cs"/>
          <w:sz w:val="18"/>
          <w:szCs w:val="18"/>
          <w:rtl/>
        </w:rPr>
        <w:t>..</w:t>
      </w:r>
    </w:p>
    <w:p w14:paraId="095244D6" w14:textId="56015C14" w:rsidR="007F0A94" w:rsidRDefault="007F0A94" w:rsidP="006A2C8C">
      <w:pPr>
        <w:pStyle w:val="Heading2"/>
        <w:rPr>
          <w:rtl/>
        </w:rPr>
      </w:pPr>
      <w:r>
        <w:rPr>
          <w:rFonts w:hint="cs"/>
          <w:rtl/>
        </w:rPr>
        <w:lastRenderedPageBreak/>
        <w:t>נפש הרב עמ' רנה</w:t>
      </w:r>
    </w:p>
    <w:p w14:paraId="0D364B54" w14:textId="03BEE4A0" w:rsidR="004A0C6D" w:rsidRDefault="00DA6106" w:rsidP="00DA6106">
      <w:pPr>
        <w:pStyle w:val="Heading1"/>
        <w:rPr>
          <w:rtl/>
        </w:rPr>
      </w:pPr>
      <w:r>
        <w:rPr>
          <w:rFonts w:hint="cs"/>
          <w:rtl/>
        </w:rPr>
        <w:t>יעקב הצדיק</w:t>
      </w:r>
    </w:p>
    <w:p w14:paraId="4D557E4E" w14:textId="78669D8B" w:rsidR="00DA6106" w:rsidRDefault="00DA6106" w:rsidP="00DA6106">
      <w:pPr>
        <w:pStyle w:val="Heading2"/>
        <w:rPr>
          <w:rtl/>
        </w:rPr>
      </w:pPr>
      <w:r>
        <w:rPr>
          <w:rFonts w:hint="cs"/>
          <w:rtl/>
        </w:rPr>
        <w:t>רמב"ם הלכות שכירות יג:ז</w:t>
      </w:r>
    </w:p>
    <w:p w14:paraId="13B6E68B" w14:textId="1E1F3024" w:rsidR="00DA6106" w:rsidRDefault="00DA6106" w:rsidP="00DA6106">
      <w:pPr>
        <w:rPr>
          <w:rtl/>
        </w:rPr>
      </w:pPr>
      <w:r w:rsidRPr="00DA6106">
        <w:rPr>
          <w:rtl/>
        </w:rPr>
        <w:t>כדרך שמוזהר בעה"ב שלא יגזול שכר עני ולא יעכבנו כך העני מוזהר שלא יגזול מלאכת בעה"ב ויבטל מעט בכאן ומעט בכאן ומוציא כל היום במרמה אלא חייב לדקדק על עצמו בזמן שהרי הקפידו על ברכה רביעית של ברכת המזון שלא יברך אותה, וכן חייב לעבוד בכל כחו שהרי יעקב הצדיק אמר כי בכל כחי עבדתי את אביכן, לפיכך נטל שכר זאת אף בעולם הזה שנאמר ויפרץ האיש מאד מאד. /סליקו להו הלכות שכירות/.</w:t>
      </w:r>
    </w:p>
    <w:p w14:paraId="2D869A03" w14:textId="41263DC7" w:rsidR="005F2EFA" w:rsidRDefault="005F2EFA" w:rsidP="005F2EFA">
      <w:pPr>
        <w:pStyle w:val="Heading1"/>
        <w:rPr>
          <w:rtl/>
        </w:rPr>
      </w:pPr>
      <w:r>
        <w:rPr>
          <w:rFonts w:hint="cs"/>
          <w:rtl/>
        </w:rPr>
        <w:t>פועל חוזר ב</w:t>
      </w:r>
      <w:r w:rsidR="00567825">
        <w:rPr>
          <w:rFonts w:hint="cs"/>
          <w:rtl/>
        </w:rPr>
        <w:t>א</w:t>
      </w:r>
      <w:r>
        <w:rPr>
          <w:rFonts w:hint="cs"/>
          <w:rtl/>
        </w:rPr>
        <w:t>מצ</w:t>
      </w:r>
      <w:r w:rsidR="00567825">
        <w:rPr>
          <w:rFonts w:hint="cs"/>
          <w:rtl/>
        </w:rPr>
        <w:t>ע</w:t>
      </w:r>
      <w:r>
        <w:rPr>
          <w:rFonts w:hint="cs"/>
          <w:rtl/>
        </w:rPr>
        <w:t xml:space="preserve"> היום</w:t>
      </w:r>
      <w:r w:rsidR="00EF23F3">
        <w:rPr>
          <w:rFonts w:hint="cs"/>
          <w:rtl/>
        </w:rPr>
        <w:t xml:space="preserve"> ולא שומר</w:t>
      </w:r>
      <w:r>
        <w:rPr>
          <w:rFonts w:hint="cs"/>
          <w:rtl/>
        </w:rPr>
        <w:t xml:space="preserve"> </w:t>
      </w:r>
      <w:r>
        <w:rPr>
          <w:rtl/>
        </w:rPr>
        <w:t>–</w:t>
      </w:r>
      <w:r>
        <w:rPr>
          <w:rFonts w:hint="cs"/>
          <w:rtl/>
        </w:rPr>
        <w:t xml:space="preserve"> קידש בפקדון</w:t>
      </w:r>
    </w:p>
    <w:p w14:paraId="3DD07834" w14:textId="18F6EEE9" w:rsidR="005F2EFA" w:rsidRDefault="005F2EFA" w:rsidP="005F2EFA">
      <w:pPr>
        <w:pStyle w:val="Heading2"/>
        <w:rPr>
          <w:rtl/>
        </w:rPr>
      </w:pPr>
      <w:r>
        <w:rPr>
          <w:rFonts w:hint="cs"/>
          <w:rtl/>
        </w:rPr>
        <w:t>רשב"א קידושין יג. ד"ה סברה</w:t>
      </w:r>
    </w:p>
    <w:p w14:paraId="099CCCBF" w14:textId="41F5D2D5" w:rsidR="005F2EFA" w:rsidRPr="005F2EFA" w:rsidRDefault="005F2EFA" w:rsidP="005F2EFA">
      <w:r w:rsidRPr="005F2EFA">
        <w:rPr>
          <w:rtl/>
        </w:rPr>
        <w:t>סברה אי שדינא להו ומתברי מיחייבנא בהו. וא"ת לימא ליה לא, י"ל דלא איכפת לה כיון דלא מידי קא עבדא דמוכח דניחא לה, וכן פרש"י ז"ל והא דלא מחאי משום דלא איכפת לה, ע"כ, ויש לדקדק כיון דדינא קאמרינן לישדינהו ולימא ליה הרי שלך לפניך, ותירץ הרב אב ב"ד ז"ל דהכא בדאפקיד גבה לזמן ידוע, ואינו נכון דמאי קא חזי רב הונא בריה דרב יהושע לאפוקי ברייתא מפשטה ולאקשויי והא ברייתא סתמא קתני וסתמא לא במפקיד לזמן ידוע, ועוד דכיון דעיקרא דמלתא משום הכין הוא ה"ל לפרושי בהדיא התם בדאפקיד לזמן ידוע וסברה אי שדינא להו כו', ועוד אני מסתפק בדינו שאפילו הפקיד לזמן למה לא תוכל להחזיר תוך זמן מי עדיף שומר חנם מפועל שחוזר בחצי היום, והראב"ד ז"ל תירץ דסברה אי שדינא להו אתי זיקא או כלבא ושדי להו מקמי דמצי (נ"א: מקמיה דלא מצי) ידא דמרייהו למישלט בהו וקא מיחייבנא, ויש מי שפירש דלאו מדינא קאמרי' אלא דלמא הכא טעיא וסברה הכי כיון דקביל עלה אחריות דלאו כ"ע דינא גמירי וכ"ש נשי, אבל הכא כיון דלקדושין יהבינהו ניהלה ולא קבלתינהו בשמירה אפילו נשי ידעי דלא מיחייבא בהו ותשדינהו, והיינו דאמרי' סברה אי שדינא להו דמשמע דאיהי סברה וטעיא, ופריך רב אחאי אטו כ"ע דינא גמירי אפילו בקדושין נמי אפשר דטעיא ומש"ה לא שדיא להו (נ"א: וקצת קשה דמדפריך רב אחאי אטו כו"ע דינא גמרי לכאורה משמע דעד השתא הוה ס"ד דדינא ידעא ומדינא קאמרי, דאי לא הול"ל הכא נמי סברה מחייבנא בהו, כיון דרב הונא גופיה הכי משמע ליה דבפקדון בדינא (כו') [טעו]). (א"ה בכת"י כתוב כן אחר דברי הרמב"ן).</w:t>
      </w:r>
    </w:p>
    <w:sectPr w:rsidR="005F2EFA" w:rsidRPr="005F2E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29AA" w14:textId="77777777" w:rsidR="003D41CA" w:rsidRDefault="003D41CA" w:rsidP="009F4441">
      <w:pPr>
        <w:spacing w:after="0" w:line="240" w:lineRule="auto"/>
      </w:pPr>
      <w:r>
        <w:separator/>
      </w:r>
    </w:p>
  </w:endnote>
  <w:endnote w:type="continuationSeparator" w:id="0">
    <w:p w14:paraId="54A33784" w14:textId="77777777" w:rsidR="003D41CA" w:rsidRDefault="003D41CA"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8256"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CD977" w14:textId="77777777" w:rsidR="003D41CA" w:rsidRDefault="003D41CA" w:rsidP="009F4441">
      <w:pPr>
        <w:spacing w:after="0" w:line="240" w:lineRule="auto"/>
      </w:pPr>
      <w:r>
        <w:separator/>
      </w:r>
    </w:p>
  </w:footnote>
  <w:footnote w:type="continuationSeparator" w:id="0">
    <w:p w14:paraId="53015C38" w14:textId="77777777" w:rsidR="003D41CA" w:rsidRDefault="003D41CA" w:rsidP="009F4441">
      <w:pPr>
        <w:spacing w:after="0" w:line="240" w:lineRule="auto"/>
      </w:pPr>
      <w:r>
        <w:continuationSeparator/>
      </w:r>
    </w:p>
  </w:footnote>
  <w:footnote w:id="1">
    <w:p w14:paraId="7A8D07AD" w14:textId="27F77CDC" w:rsidR="00C45650" w:rsidRDefault="00C45650">
      <w:pPr>
        <w:pStyle w:val="FootnoteText"/>
      </w:pPr>
      <w:r>
        <w:rPr>
          <w:rStyle w:val="FootnoteReference"/>
        </w:rPr>
        <w:footnoteRef/>
      </w:r>
      <w:r>
        <w:rPr>
          <w:rtl/>
        </w:rPr>
        <w:t xml:space="preserve"> </w:t>
      </w:r>
      <w:r w:rsidR="00084C38">
        <w:rPr>
          <w:rFonts w:hint="cs"/>
          <w:rtl/>
        </w:rPr>
        <w:t>ע' ב</w:t>
      </w:r>
      <w:r w:rsidR="00084C38" w:rsidRPr="00084C38">
        <w:rPr>
          <w:rtl/>
        </w:rPr>
        <w:t xml:space="preserve">שו"ת עונג </w:t>
      </w:r>
      <w:r w:rsidR="00084C38">
        <w:rPr>
          <w:rtl/>
        </w:rPr>
        <w:t>יו"ט קסט</w:t>
      </w:r>
      <w:r w:rsidR="00084C38">
        <w:rPr>
          <w:rFonts w:hint="cs"/>
          <w:rtl/>
        </w:rPr>
        <w:t>,</w:t>
      </w:r>
      <w:r w:rsidR="00084C38">
        <w:rPr>
          <w:rtl/>
        </w:rPr>
        <w:t xml:space="preserve"> כתב סופר אה"ע נא</w:t>
      </w:r>
      <w:r w:rsidR="00084C38">
        <w:rPr>
          <w:rFonts w:hint="cs"/>
          <w:rtl/>
        </w:rPr>
        <w:t>,</w:t>
      </w:r>
      <w:r w:rsidR="00084C38" w:rsidRPr="00084C38">
        <w:rPr>
          <w:rtl/>
        </w:rPr>
        <w:t xml:space="preserve"> האלף לך שלמה אה"ע לד</w:t>
      </w:r>
      <w:r w:rsidR="00084C38">
        <w:rPr>
          <w:rFonts w:hint="cs"/>
          <w:rtl/>
        </w:rPr>
        <w:t xml:space="preserve">, </w:t>
      </w:r>
      <w:r w:rsidRPr="00C45650">
        <w:rPr>
          <w:rtl/>
        </w:rPr>
        <w:t>מנחת שלמה חלק א סימן עו</w:t>
      </w:r>
      <w:r w:rsidR="00AE2524">
        <w:rPr>
          <w:rFonts w:hint="cs"/>
          <w:rtl/>
        </w:rPr>
        <w:t xml:space="preserve"> </w:t>
      </w:r>
      <w:r w:rsidR="002547A9">
        <w:rPr>
          <w:rFonts w:hint="cs"/>
          <w:rtl/>
        </w:rPr>
        <w:t>ו</w:t>
      </w:r>
      <w:r w:rsidR="00AE2524" w:rsidRPr="00AE2524">
        <w:rPr>
          <w:rtl/>
        </w:rPr>
        <w:t>ציץ אליעזר חלק טו סימן נח</w:t>
      </w:r>
      <w:r w:rsidR="00181BEA">
        <w:rPr>
          <w:rFonts w:hint="cs"/>
          <w:rtl/>
        </w:rPr>
        <w:t xml:space="preserve">, </w:t>
      </w:r>
      <w:hyperlink r:id="rId1" w:history="1">
        <w:r w:rsidR="00E20215" w:rsidRPr="00E20215">
          <w:rPr>
            <w:rStyle w:val="Hyperlink"/>
            <w:rFonts w:hint="cs"/>
            <w:rtl/>
          </w:rPr>
          <w:t>במאמרו של הרב הדיין דוד מלכא</w:t>
        </w:r>
      </w:hyperlink>
      <w:r w:rsidR="00E20215">
        <w:rPr>
          <w:rFonts w:hint="cs"/>
          <w:rtl/>
        </w:rPr>
        <w:t xml:space="preserve">, </w:t>
      </w:r>
      <w:r w:rsidR="00181BEA">
        <w:rPr>
          <w:rFonts w:hint="cs"/>
          <w:rtl/>
        </w:rPr>
        <w:t>וב</w:t>
      </w:r>
      <w:hyperlink r:id="rId2" w:history="1">
        <w:r w:rsidR="00181BEA" w:rsidRPr="00181BEA">
          <w:rPr>
            <w:rStyle w:val="Hyperlink"/>
            <w:rFonts w:hint="cs"/>
            <w:rtl/>
          </w:rPr>
          <w:t>אתר ישיבה</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BD901" w14:textId="2705FD11"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1F6201">
      <w:rPr>
        <w:rFonts w:hint="cs"/>
        <w:rtl/>
      </w:rPr>
      <w:t xml:space="preserve">  </w:t>
    </w:r>
    <w:r w:rsidR="001F6201" w:rsidRPr="001F6201">
      <w:rPr>
        <w:rtl/>
      </w:rPr>
      <w:t xml:space="preserve">   ‏‏‏ו' כסלו תשע"ז</w:t>
    </w:r>
    <w:r w:rsidR="001F6201" w:rsidRPr="001F6201">
      <w:rPr>
        <w:rtl/>
      </w:rPr>
      <w:tab/>
    </w:r>
    <w:r w:rsidR="001F6201">
      <w:rPr>
        <w:rtl/>
      </w:rPr>
      <w:tab/>
    </w:r>
    <w:r>
      <w:rPr>
        <w:rtl/>
      </w:rPr>
      <w:tab/>
    </w:r>
    <w:r w:rsidRPr="00C52284">
      <w:rPr>
        <w:rtl/>
      </w:rPr>
      <w:t xml:space="preserve"> שיעור </w:t>
    </w:r>
    <w:r w:rsidR="001F6201">
      <w:rPr>
        <w:rFonts w:hint="cs"/>
        <w:rtl/>
      </w:rPr>
      <w:t>מ"ד</w:t>
    </w:r>
    <w:r>
      <w:rPr>
        <w:rFonts w:hint="cs"/>
        <w:rtl/>
      </w:rPr>
      <w:t xml:space="preserve"> -  מסכת קידושין </w:t>
    </w:r>
    <w:r w:rsidR="001F6201">
      <w:rPr>
        <w:rFonts w:hint="cs"/>
        <w:rtl/>
      </w:rPr>
      <w:t>יב.</w:t>
    </w:r>
    <w:r w:rsidR="004A0C6D">
      <w:rPr>
        <w:rFonts w:hint="cs"/>
        <w:rtl/>
      </w:rPr>
      <w:t>-יג.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A"/>
    <w:rsid w:val="00060B98"/>
    <w:rsid w:val="00084C38"/>
    <w:rsid w:val="000C25FD"/>
    <w:rsid w:val="00181BEA"/>
    <w:rsid w:val="001A3E2F"/>
    <w:rsid w:val="001F6201"/>
    <w:rsid w:val="002547A9"/>
    <w:rsid w:val="00261A1B"/>
    <w:rsid w:val="00262400"/>
    <w:rsid w:val="00266235"/>
    <w:rsid w:val="002C5CA3"/>
    <w:rsid w:val="002D7162"/>
    <w:rsid w:val="00315DD8"/>
    <w:rsid w:val="003272E9"/>
    <w:rsid w:val="00336904"/>
    <w:rsid w:val="00390CF8"/>
    <w:rsid w:val="003D3985"/>
    <w:rsid w:val="003D41CA"/>
    <w:rsid w:val="00462314"/>
    <w:rsid w:val="00496872"/>
    <w:rsid w:val="004A0C6D"/>
    <w:rsid w:val="004E452F"/>
    <w:rsid w:val="00567825"/>
    <w:rsid w:val="005F2EFA"/>
    <w:rsid w:val="006713BE"/>
    <w:rsid w:val="006A2C8C"/>
    <w:rsid w:val="006E773D"/>
    <w:rsid w:val="00772DE0"/>
    <w:rsid w:val="00791C88"/>
    <w:rsid w:val="007F0A94"/>
    <w:rsid w:val="00891835"/>
    <w:rsid w:val="009108A1"/>
    <w:rsid w:val="009308B8"/>
    <w:rsid w:val="00952910"/>
    <w:rsid w:val="009757CB"/>
    <w:rsid w:val="009762B9"/>
    <w:rsid w:val="00995447"/>
    <w:rsid w:val="009E38FB"/>
    <w:rsid w:val="009F4441"/>
    <w:rsid w:val="00A64638"/>
    <w:rsid w:val="00AE2524"/>
    <w:rsid w:val="00B24473"/>
    <w:rsid w:val="00BF3021"/>
    <w:rsid w:val="00C221BF"/>
    <w:rsid w:val="00C45650"/>
    <w:rsid w:val="00C47AA7"/>
    <w:rsid w:val="00C57364"/>
    <w:rsid w:val="00D11209"/>
    <w:rsid w:val="00DA6106"/>
    <w:rsid w:val="00E20215"/>
    <w:rsid w:val="00E274E5"/>
    <w:rsid w:val="00E81182"/>
    <w:rsid w:val="00EF23F3"/>
    <w:rsid w:val="00F13893"/>
    <w:rsid w:val="00F22EF1"/>
    <w:rsid w:val="00FA1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1B10"/>
  <w15:chartTrackingRefBased/>
  <w15:docId w15:val="{940741A7-382A-4D7B-AD29-8373EDE4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11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E8118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24473"/>
    <w:rPr>
      <w:color w:val="0563C1" w:themeColor="hyperlink"/>
      <w:u w:val="single"/>
    </w:rPr>
  </w:style>
  <w:style w:type="paragraph" w:styleId="FootnoteText">
    <w:name w:val="footnote text"/>
    <w:basedOn w:val="Normal"/>
    <w:link w:val="FootnoteTextChar"/>
    <w:uiPriority w:val="99"/>
    <w:semiHidden/>
    <w:unhideWhenUsed/>
    <w:rsid w:val="00C45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650"/>
    <w:rPr>
      <w:rFonts w:ascii="Narkisim" w:hAnsi="Narkisim" w:cs="Narkisim"/>
      <w:sz w:val="20"/>
      <w:szCs w:val="20"/>
    </w:rPr>
  </w:style>
  <w:style w:type="character" w:styleId="FootnoteReference">
    <w:name w:val="footnote reference"/>
    <w:basedOn w:val="DefaultParagraphFont"/>
    <w:uiPriority w:val="99"/>
    <w:semiHidden/>
    <w:unhideWhenUsed/>
    <w:rsid w:val="00C456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2022">
      <w:bodyDiv w:val="1"/>
      <w:marLeft w:val="0"/>
      <w:marRight w:val="0"/>
      <w:marTop w:val="0"/>
      <w:marBottom w:val="0"/>
      <w:divBdr>
        <w:top w:val="none" w:sz="0" w:space="0" w:color="auto"/>
        <w:left w:val="none" w:sz="0" w:space="0" w:color="auto"/>
        <w:bottom w:val="none" w:sz="0" w:space="0" w:color="auto"/>
        <w:right w:val="none" w:sz="0" w:space="0" w:color="auto"/>
      </w:divBdr>
    </w:div>
    <w:div w:id="193108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u.org/jewish_action/06/2015/halachah-and-the-fallen-rabbi-q-a-with-rabbi-hershel-schach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yndalearchive.com/tabs/jastro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yeshiva.org.il/wiki/index.php?title=%D7%9E%D7%99%D7%A7%D7%A8%D7%95%D7%A4%D7%93%D7%99%D7%94_%D7%AA%D7%9C%D7%9E%D7%95%D7%93%D7%99%D7%AA%3A%D7%90%D7%A4%D7%A7%D7%A2%D7%99%D7%A0%D7%94%D7%95_%D7%A8%D7%91%D7%A0%D7%9F_%D7%9C%D7%A7%D7%93%D7%95%D7%A9%D7%99%D7%9F_%D7%9E%D7%A0%D7%99%D7%94" TargetMode="External"/><Relationship Id="rId1" Type="http://schemas.openxmlformats.org/officeDocument/2006/relationships/hyperlink" Target="http://www.daat.ac.il/daat/maamar.asp?id=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158</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51</cp:revision>
  <dcterms:created xsi:type="dcterms:W3CDTF">2016-12-06T17:48:00Z</dcterms:created>
  <dcterms:modified xsi:type="dcterms:W3CDTF">2016-12-07T16:26:00Z</dcterms:modified>
</cp:coreProperties>
</file>