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3640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FF7D836" w14:textId="15BA8664" w:rsidR="00C85D5D" w:rsidRDefault="0087646E" w:rsidP="00C85D5D">
      <w:pPr>
        <w:pStyle w:val="Subtitle"/>
        <w:rPr>
          <w:rtl/>
        </w:rPr>
      </w:pPr>
      <w:r>
        <w:rPr>
          <w:rFonts w:hint="cs"/>
          <w:rtl/>
        </w:rPr>
        <w:t>לשמה בשטרות, כתיבת הגט, צוואה</w:t>
      </w:r>
      <w:r>
        <w:rPr>
          <w:rtl/>
        </w:rPr>
        <w:br/>
      </w:r>
      <w:r w:rsidR="00CE129C">
        <w:rPr>
          <w:rFonts w:hint="cs"/>
          <w:rtl/>
        </w:rPr>
        <w:t>ציווי הבעל</w:t>
      </w:r>
      <w:r w:rsidR="00D50831">
        <w:rPr>
          <w:rFonts w:hint="cs"/>
          <w:rtl/>
        </w:rPr>
        <w:t>, שטרי פסיקתא</w:t>
      </w:r>
    </w:p>
    <w:p w14:paraId="2A27FB22" w14:textId="4240833F" w:rsidR="009F4441" w:rsidRDefault="0047306D" w:rsidP="009F4441">
      <w:pPr>
        <w:pStyle w:val="Heading1"/>
        <w:rPr>
          <w:rtl/>
        </w:rPr>
      </w:pPr>
      <w:r>
        <w:rPr>
          <w:rFonts w:hint="cs"/>
          <w:rtl/>
        </w:rPr>
        <w:t>כתיבת הגט כתחילת הגירושין</w:t>
      </w:r>
    </w:p>
    <w:p w14:paraId="11F6F53B" w14:textId="77777777" w:rsidR="00C85D5D" w:rsidRPr="00CE752A" w:rsidRDefault="00C85D5D" w:rsidP="00C85D5D">
      <w:pPr>
        <w:pStyle w:val="Heading2"/>
        <w:rPr>
          <w:shd w:val="clear" w:color="auto" w:fill="FFFFFF"/>
        </w:rPr>
      </w:pPr>
      <w:r w:rsidRPr="00CE752A">
        <w:rPr>
          <w:shd w:val="clear" w:color="auto" w:fill="FFFFFF"/>
          <w:rtl/>
        </w:rPr>
        <w:t>פתחי תשובה אבן העזר סימן יג</w:t>
      </w:r>
      <w:r w:rsidRPr="00CE752A">
        <w:rPr>
          <w:rFonts w:hint="cs"/>
          <w:shd w:val="clear" w:color="auto" w:fill="FFFFFF"/>
          <w:rtl/>
        </w:rPr>
        <w:t xml:space="preserve"> ס"ק א</w:t>
      </w:r>
    </w:p>
    <w:p w14:paraId="24A4EB3A" w14:textId="40EAAAAE" w:rsidR="00C85D5D" w:rsidRPr="00C85D5D" w:rsidRDefault="00C85D5D" w:rsidP="00C85D5D">
      <w:pPr>
        <w:rPr>
          <w:rtl/>
        </w:rPr>
      </w:pPr>
      <w:r w:rsidRPr="00CE752A">
        <w:rPr>
          <w:rtl/>
        </w:rPr>
        <w:t>להבחין בין זרעו - עב"ש סק"א מ"ש ונראה דהלכתא כרבא וגם י"ל דאפי' לשמואל ליכא איסור דאו' ולימוד זה רק אסמכתא ועיין בס' בר"י שהבי' משם הרדב"ז ח"ב (בדפוס סדילקאב הוא בח"א) סימן רס"ד שכ' בשם התוס' דהבחנת הזרע מדרבנן אך פשט לשון הרמב"ם נראה דבאשה הראוי' לילד הוי מן התורה ושאר כל הנשים גזרה דרבנן ע"ש והיא ז"ל האריך מאד בזה דאין מדברי הרמב"ם הכרע והביא כמה ראיות דכל עיקר הבחנה הוא רק מדרבנן עש"ב וכ"כ בתשו' שבו"י ח"א סימן צ"ז ובמל"מ פ"ח דמלכים ע"ש:</w:t>
      </w:r>
    </w:p>
    <w:p w14:paraId="1127D71F" w14:textId="5C578562" w:rsidR="00A451EA" w:rsidRPr="00A451EA" w:rsidRDefault="00A451EA" w:rsidP="00A451EA">
      <w:pPr>
        <w:pStyle w:val="Heading1"/>
        <w:rPr>
          <w:b w:val="0"/>
          <w:bCs w:val="0"/>
          <w:color w:val="000080"/>
          <w:sz w:val="28"/>
          <w:szCs w:val="28"/>
          <w:u w:val="none"/>
          <w:shd w:val="clear" w:color="auto" w:fill="FFFFFF"/>
          <w:rtl/>
        </w:rPr>
      </w:pPr>
      <w:r w:rsidRPr="00A451EA">
        <w:rPr>
          <w:b w:val="0"/>
          <w:bCs w:val="0"/>
          <w:color w:val="000080"/>
          <w:sz w:val="28"/>
          <w:szCs w:val="28"/>
          <w:u w:val="none"/>
          <w:shd w:val="clear" w:color="auto" w:fill="FFFFFF"/>
          <w:rtl/>
        </w:rPr>
        <w:t>גיטין יח.</w:t>
      </w:r>
    </w:p>
    <w:p w14:paraId="7B6B17AE" w14:textId="40746A4C" w:rsidR="00A451EA" w:rsidRDefault="00A451EA" w:rsidP="00A451EA">
      <w:pPr>
        <w:rPr>
          <w:shd w:val="clear" w:color="auto" w:fill="FFFFFF"/>
          <w:rtl/>
        </w:rPr>
      </w:pPr>
      <w:r w:rsidRPr="00A451EA">
        <w:rPr>
          <w:shd w:val="clear" w:color="auto" w:fill="FFFFFF"/>
          <w:rtl/>
        </w:rPr>
        <w:t>ר"ש מכשיר. אמר רבא: מאי טעמא דר"ש? קסבר: כיון שנתן עיניו לגרשה, שוב אין לו פירות...</w:t>
      </w:r>
    </w:p>
    <w:p w14:paraId="62250D6A" w14:textId="49F5F2A9" w:rsidR="0047306D" w:rsidRPr="00E369A0" w:rsidRDefault="0047306D" w:rsidP="0047306D">
      <w:pPr>
        <w:pStyle w:val="Heading2"/>
        <w:rPr>
          <w:shd w:val="clear" w:color="auto" w:fill="FFFFFF"/>
        </w:rPr>
      </w:pPr>
      <w:r w:rsidRPr="00E369A0">
        <w:rPr>
          <w:shd w:val="clear" w:color="auto" w:fill="FFFFFF"/>
          <w:rtl/>
        </w:rPr>
        <w:t>ים של שלמה מסכת גיטין פרק ב</w:t>
      </w:r>
    </w:p>
    <w:p w14:paraId="42808408" w14:textId="77777777" w:rsidR="0047306D" w:rsidRPr="00E369A0" w:rsidRDefault="0047306D" w:rsidP="0047306D">
      <w:r w:rsidRPr="00E369A0">
        <w:rPr>
          <w:rtl/>
        </w:rPr>
        <w:t>ד. דין מי שמתה אשתו מתוך הקטט, והיה בדעתו לגרשה, אין צריך [להתאבל] עליה לישב ז' ימי אבילות:</w:t>
      </w:r>
    </w:p>
    <w:p w14:paraId="57560FA8" w14:textId="77777777" w:rsidR="0047306D" w:rsidRPr="00E369A0" w:rsidRDefault="0047306D" w:rsidP="0047306D">
      <w:r w:rsidRPr="00E369A0">
        <w:rPr>
          <w:rtl/>
        </w:rPr>
        <w:t>פסק, כתב רשב"ם בפ' מי שמת (ב"ב קמ"ו ע"ב, ד"ה נפלה) [מי שמתה] אשתו מתוך קטטה, והיה בדעתו לגרשה, אינו יורשה, [כדאמרינן במס' גיטין (י"ח ע"א)] כיון שנתן עיניו לגרשה שוב אין לו פירות, עד כאן, ונראה, אף דהכא איירי שנכתב הגט, רק שלא נחתם, אבל היכא דלא נכתב כלל לא מצינו להדיא דלית ליה פירות אף לר' שמעון, מכל מקום נראה לי, דלאו דוקא קאמר משעת כתיבה לר"ש, אלא אף בלא כתיבה, כלישנא דתלמודא, מכיון שנתן עיניו לגרשה כו', ומשמע היכא דברירא לן דנתן עיניו לגרשה שוב אין לו פירות לר"ש, רק משעת כתיבה הוא מילתא דברירא לן שנתן כבר עיניו לגרשה,</w:t>
      </w:r>
      <w:r w:rsidRPr="00E369A0">
        <w:t xml:space="preserve"> </w:t>
      </w:r>
      <w:r w:rsidRPr="00E369A0">
        <w:rPr>
          <w:rtl/>
        </w:rPr>
        <w:t>רק שתמה אני על דבריו, מה מביא ראיה מר"ש, הא רבנן פליגי אפילו לר"ל, וסברי משעת חתימת הגט, והלכה כרבנן, ור"ל דאמר שעת כתיבה לאו דוקא קאמר, אלא פירושו משעת חתימה, ועוד, הלכה כר"י דיש לבעל פירות עד שעת נתינה, ולא גרע (אשה) [(נראה דצ"ל) ירושה] מתקנות פירות, ובעלי התוספות (ב"ב קמ"ו ע"ב, ד"ה נכנס) והרא"ש (שם פ"ט סימן ט"ז) נמי השיגו על דבריו, וכתבו שאין ירושת הבעל שהיא דאורייתא נפקעת עד לאחר גירושין</w:t>
      </w:r>
    </w:p>
    <w:p w14:paraId="1BA37753" w14:textId="77777777" w:rsidR="0047306D" w:rsidRPr="00E369A0" w:rsidRDefault="0047306D" w:rsidP="0047306D">
      <w:pPr>
        <w:rPr>
          <w:rtl/>
        </w:rPr>
      </w:pPr>
      <w:r w:rsidRPr="00E369A0">
        <w:rPr>
          <w:rtl/>
        </w:rPr>
        <w:t xml:space="preserve">ומעשה בא לידי, באחד שהיה בקטט עם אשתו, והיה לו דעת ברור לגרשה, ובתוך אותו הקטט מתה, והוריתי לו שלא לישב ז' ימי אבילות, ושלא להתאבל עליה, והבאתי ראיה מדברי הרשב"ם, שפסק כך אפילו לענין ירושת הבעל שהוא דאורייתא, כגון לר' עקיבא בפ' ד' וה' (ב"ק מ"ב ע"ב) ולרשב"ג בפ' הכותב (כתובות פ"ו ע"ב) וכן הלכה, רק שרב פסק (שם) שהוא דרבנן והוי הפקעת ממון שלא כדין, </w:t>
      </w:r>
      <w:r w:rsidRPr="00E369A0">
        <w:rPr>
          <w:b/>
          <w:bCs/>
          <w:rtl/>
        </w:rPr>
        <w:t>אפילו הכי אמרינן כיון שנתן עיניו לגרשה חשבינן כאלו כבר גירשה</w:t>
      </w:r>
      <w:r w:rsidRPr="00E369A0">
        <w:rPr>
          <w:rtl/>
        </w:rPr>
        <w:t>, ונילף מיניה קל וחומר לענין אבילות, שהוא לכולי עלמא מדרבנן,</w:t>
      </w:r>
      <w:r w:rsidRPr="00E369A0">
        <w:rPr>
          <w:vertAlign w:val="superscript"/>
          <w:rtl/>
        </w:rPr>
        <w:footnoteReference w:id="1"/>
      </w:r>
      <w:r w:rsidRPr="00E369A0">
        <w:rPr>
          <w:rtl/>
        </w:rPr>
        <w:t xml:space="preserve"> דפטור מאבילות</w:t>
      </w:r>
      <w:r w:rsidRPr="00E369A0">
        <w:rPr>
          <w:rFonts w:hint="cs"/>
          <w:rtl/>
        </w:rPr>
        <w:t>,</w:t>
      </w:r>
    </w:p>
    <w:p w14:paraId="69257614" w14:textId="77777777" w:rsidR="0047306D" w:rsidRPr="00E369A0" w:rsidRDefault="0047306D" w:rsidP="0047306D">
      <w:pPr>
        <w:rPr>
          <w:rtl/>
        </w:rPr>
      </w:pPr>
      <w:r w:rsidRPr="00E369A0">
        <w:rPr>
          <w:rtl/>
        </w:rPr>
        <w:t>ואף שכתבתי שליתא לדברי רשב"ם, היינו משום דס"ל דהלכה כרבנן, דסברי אליבא דר"י שיש לבעל פירות עד שעת נתינה, והיינו טעמא, מאחר שתקנו לו חכמים לזכות בפירות לא נפקעת אותו זכות עד שעת גירושין, דמנא לן להפקיע ממונו שלא כדין, שיכול לומר כל זמן שלא גירשתי הרי היא אשתי, וכל זכות שיש לי בה לא אמחל, בפרט מאחר שירושת הבעל דאורייתא, אבל מניין לנו לחייבו באבילות דרבנן, ועוד, מאחר דלר"ש דסבר כיון שנתן עיניו לגרשה שוב אין לו פירות, אם כן קל וחומר לענין אבילות, ונהי דחכמים חולקים, והלכה כוותייהו, מכל מקום הלכה כמיקל באבל (מו"ק י"ט ע"ב), אם כך הלכה כר"ש לענין אבילות, ועוד, איך יעלה על דעת האדם להאבילו מה שאין לבו אבל, ואין יום מר לפניו, ונהי דבאבל ממש לא חלקו רבותינו בין אוהב לשונא, הכא יש ויש לחלק, ועוד, התם אחר דאית ליה קורבא בגביה, אפילו הוא שונאו מכל מקום בשרו הוא ונכמרו רחמיו, ושייך ביה אבילות ומרירות הלב, אבל כהאי גוונא כולי עלמא מודו דחשיב ליה בלביה כאלו אזלה מיניה, ואין כאן אבילות ומרירות הלב, והנה תמהו העם על ככה, ושלחתי דברי לזקני ירושלים, וכתב לי זקן אחד וחכם מופלא שחכמי ירושלים הסכימו לקל וחומר שדנתי מדברי הרשב"ם:</w:t>
      </w:r>
    </w:p>
    <w:p w14:paraId="28D6EC36" w14:textId="77777777" w:rsidR="0047306D" w:rsidRPr="00E369A0" w:rsidRDefault="0047306D" w:rsidP="0047306D">
      <w:pPr>
        <w:pStyle w:val="Heading2"/>
        <w:rPr>
          <w:shd w:val="clear" w:color="auto" w:fill="FFFFFF"/>
          <w:rtl/>
        </w:rPr>
      </w:pPr>
      <w:r w:rsidRPr="00E369A0">
        <w:rPr>
          <w:shd w:val="clear" w:color="auto" w:fill="FFFFFF"/>
          <w:rtl/>
        </w:rPr>
        <w:lastRenderedPageBreak/>
        <w:t>רבי עקיבא איגר יורה דעה סימן שעד</w:t>
      </w:r>
      <w:r w:rsidRPr="00E369A0">
        <w:rPr>
          <w:rFonts w:hint="cs"/>
          <w:shd w:val="clear" w:color="auto" w:fill="FFFFFF"/>
          <w:rtl/>
        </w:rPr>
        <w:t xml:space="preserve"> סעיף ד</w:t>
      </w:r>
    </w:p>
    <w:p w14:paraId="5830A9A2" w14:textId="392DD868" w:rsidR="0047306D" w:rsidRPr="00E369A0" w:rsidRDefault="0047306D" w:rsidP="0047306D">
      <w:pPr>
        <w:rPr>
          <w:rtl/>
        </w:rPr>
      </w:pPr>
      <w:r w:rsidRPr="00E369A0">
        <w:rPr>
          <w:rtl/>
        </w:rPr>
        <w:t>ונשואה. ואם היה לו קטט עמה והיה דעתו לגרשה ומתה מתוך הקטט כתב היש"ש (פ"ב דגיטין סי' ד') דאינו מתאבל עליה ועי' בספר בית מאיר לאה"ע (סי' צ' ס"ה) ובנתגרשה על תנאי ומת עי' ש"ע אה"ע (סי' קמ"ה ס"ט בהג"ה):</w:t>
      </w:r>
    </w:p>
    <w:p w14:paraId="068FF482" w14:textId="2300F727" w:rsidR="000C25FD" w:rsidRDefault="00444269" w:rsidP="00444269">
      <w:pPr>
        <w:pStyle w:val="Heading1"/>
        <w:rPr>
          <w:rtl/>
        </w:rPr>
      </w:pPr>
      <w:r>
        <w:rPr>
          <w:rFonts w:hint="cs"/>
          <w:rtl/>
        </w:rPr>
        <w:t xml:space="preserve">גיטין </w:t>
      </w:r>
      <w:r>
        <w:rPr>
          <w:rtl/>
        </w:rPr>
        <w:t>–</w:t>
      </w:r>
      <w:r>
        <w:rPr>
          <w:rFonts w:hint="cs"/>
          <w:rtl/>
        </w:rPr>
        <w:t xml:space="preserve"> ציווי הבעל על ידי טלפון או בכתב</w:t>
      </w:r>
    </w:p>
    <w:p w14:paraId="77164DE9" w14:textId="30A3814F" w:rsidR="00444269" w:rsidRDefault="000B6379" w:rsidP="000B6379">
      <w:pPr>
        <w:pStyle w:val="Heading2"/>
        <w:rPr>
          <w:sz w:val="22"/>
          <w:szCs w:val="22"/>
          <w:rtl/>
        </w:rPr>
      </w:pPr>
      <w:r w:rsidRPr="000B6379">
        <w:t>The Use Of A Videoteleconference For A Get Procedure</w:t>
      </w:r>
      <w:r>
        <w:rPr>
          <w:rFonts w:hint="cs"/>
          <w:rtl/>
        </w:rPr>
        <w:t xml:space="preserve"> </w:t>
      </w:r>
      <w:r w:rsidRPr="000B6379">
        <w:rPr>
          <w:rFonts w:hint="cs"/>
          <w:sz w:val="22"/>
          <w:szCs w:val="22"/>
          <w:rtl/>
        </w:rPr>
        <w:t>(</w:t>
      </w:r>
      <w:hyperlink r:id="rId7" w:history="1">
        <w:r w:rsidRPr="000B6379">
          <w:rPr>
            <w:rStyle w:val="Hyperlink"/>
            <w:rFonts w:hint="cs"/>
            <w:sz w:val="22"/>
            <w:szCs w:val="22"/>
            <w:rtl/>
          </w:rPr>
          <w:t>קישור</w:t>
        </w:r>
      </w:hyperlink>
      <w:r w:rsidRPr="000B6379">
        <w:rPr>
          <w:rFonts w:hint="cs"/>
          <w:sz w:val="22"/>
          <w:szCs w:val="22"/>
          <w:rtl/>
        </w:rPr>
        <w:t>)</w:t>
      </w:r>
    </w:p>
    <w:p w14:paraId="0BA48839" w14:textId="1769E2D6" w:rsidR="00B07A4C" w:rsidRDefault="00C366B2" w:rsidP="00C366B2">
      <w:pPr>
        <w:pStyle w:val="Heading1"/>
        <w:rPr>
          <w:rtl/>
        </w:rPr>
      </w:pPr>
      <w:r>
        <w:rPr>
          <w:rFonts w:hint="cs"/>
          <w:rtl/>
        </w:rPr>
        <w:t>צוואה</w:t>
      </w:r>
    </w:p>
    <w:p w14:paraId="4D032876" w14:textId="6A3E958B" w:rsidR="00C366B2" w:rsidRPr="008D779A" w:rsidRDefault="000A47A0" w:rsidP="00C366B2">
      <w:pPr>
        <w:pStyle w:val="Heading2"/>
        <w:rPr>
          <w:shd w:val="clear" w:color="auto" w:fill="FFFFFF"/>
          <w:rtl/>
        </w:rPr>
      </w:pPr>
      <w:r>
        <w:rPr>
          <w:shd w:val="clear" w:color="auto" w:fill="FFFFFF"/>
          <w:rtl/>
        </w:rPr>
        <w:t>שו"ת אגרות משה אבן העזר ח</w:t>
      </w:r>
      <w:r>
        <w:rPr>
          <w:rFonts w:hint="cs"/>
          <w:shd w:val="clear" w:color="auto" w:fill="FFFFFF"/>
          <w:rtl/>
        </w:rPr>
        <w:t xml:space="preserve">לק </w:t>
      </w:r>
      <w:r w:rsidR="00C366B2" w:rsidRPr="008D779A">
        <w:rPr>
          <w:shd w:val="clear" w:color="auto" w:fill="FFFFFF"/>
          <w:rtl/>
        </w:rPr>
        <w:t>א סימן קד</w:t>
      </w:r>
      <w:r w:rsidR="00C366B2" w:rsidRPr="008D779A">
        <w:rPr>
          <w:shd w:val="clear" w:color="auto" w:fill="FFFFFF"/>
          <w:vertAlign w:val="superscript"/>
          <w:rtl/>
        </w:rPr>
        <w:footnoteReference w:id="2"/>
      </w:r>
    </w:p>
    <w:p w14:paraId="0D3419DA" w14:textId="77777777" w:rsidR="00C366B2" w:rsidRPr="008D779A" w:rsidRDefault="00C366B2" w:rsidP="00C366B2">
      <w:pPr>
        <w:rPr>
          <w:rtl/>
        </w:rPr>
      </w:pPr>
      <w:r w:rsidRPr="008D779A">
        <w:rPr>
          <w:rtl/>
        </w:rPr>
        <w:t xml:space="preserve">בדבר צואת האשה בערכאות על כספיה שמונחים בבאנק מע"כ ידידי הרב הגאון מוהר"ר בצלאל הכהן שליט"א הגאב"ד פעטערסאן.  </w:t>
      </w:r>
    </w:p>
    <w:p w14:paraId="22D071A6" w14:textId="77777777" w:rsidR="00C366B2" w:rsidRPr="008D779A" w:rsidRDefault="00C366B2" w:rsidP="00C366B2">
      <w:pPr>
        <w:rPr>
          <w:rtl/>
        </w:rPr>
      </w:pPr>
      <w:r w:rsidRPr="008D779A">
        <w:rPr>
          <w:rtl/>
        </w:rPr>
        <w:t xml:space="preserve">  בדבר צואת האשה על כספיה שהיו לה בבאנק ליתן מהם גם לצדקה והבעל אומר שהיו של האשה אך מחמת שהיא נתנה לאותה הצדקה שנדר גם הוא ליתן רוצה לחזור ממה שנדר גם הוא לאותה הצדקה.   ונסתפק ידידי כתר"ה אולי לדינא אין צואתה כלום דיורש אותה בעלה וממילא יכול להחשיב מעותיה שנתנה לצדקה בהצואה לתשלומי נדרו שנתחייב הוא לאותה הצדקה.</w:t>
      </w:r>
      <w:r w:rsidRPr="008D779A">
        <w:rPr>
          <w:rFonts w:hint="cs"/>
          <w:rtl/>
        </w:rPr>
        <w:t>..</w:t>
      </w:r>
    </w:p>
    <w:p w14:paraId="31A4C2A6" w14:textId="77777777" w:rsidR="00C366B2" w:rsidRPr="008D779A" w:rsidRDefault="00C366B2" w:rsidP="00C366B2">
      <w:pPr>
        <w:rPr>
          <w:rtl/>
        </w:rPr>
      </w:pPr>
      <w:r w:rsidRPr="008D779A">
        <w:rPr>
          <w:rtl/>
        </w:rPr>
        <w:t xml:space="preserve">  ועצם הצואה כיון שנמסרה לדינא דמלכותא שודאי יעשו כדבריה אף שהיא מתנה לאחר מיתה ואין קנין לאח"מ שכבר אינו שלה שמסתבר שלא יועיל בכגון זה הא דדינא דמלכותא דינא שתוכל ליתן דבר שאינו שלה.   אבל עכ"פ אין להבעל דין הירושה על מה שנתנה דאין לך הברחה גדולה מזו ובהכרח אינו יכול לכוין עליהם ליורשם.  </w:t>
      </w:r>
    </w:p>
    <w:p w14:paraId="18CC2FE0" w14:textId="77777777" w:rsidR="00C366B2" w:rsidRPr="008D779A" w:rsidRDefault="00C366B2" w:rsidP="00C366B2">
      <w:pPr>
        <w:rPr>
          <w:rtl/>
        </w:rPr>
      </w:pPr>
      <w:r w:rsidRPr="008D779A">
        <w:rPr>
          <w:rtl/>
        </w:rPr>
        <w:t xml:space="preserve">  אך בעצם מסתבר לע"ד שצואה כזו שודאי יתקיים כדברי המצוה בדינא דמלכותא א"צ קנין שאין לך קנין גדול מזה.   וממילא כיון שא"צ קנין מועיל מדינא אף נגד היורשין אף שהוא מתנה לאחר מיתה.</w:t>
      </w:r>
      <w:r w:rsidRPr="008D779A">
        <w:rPr>
          <w:rFonts w:hint="cs"/>
          <w:rtl/>
        </w:rPr>
        <w:t>..</w:t>
      </w:r>
    </w:p>
    <w:p w14:paraId="6C55687C" w14:textId="77777777" w:rsidR="00C366B2" w:rsidRPr="008D779A" w:rsidRDefault="00C366B2" w:rsidP="00C366B2">
      <w:pPr>
        <w:rPr>
          <w:rtl/>
        </w:rPr>
      </w:pPr>
      <w:r w:rsidRPr="008D779A">
        <w:rPr>
          <w:rtl/>
        </w:rPr>
        <w:t xml:space="preserve">  ולכן צריך לומר דבר חדש דכיון שא"צ קנין מטעם דכתב בעת הקידושין או הנישואין דהן דברים הנקנים באמירה מועילה צואה כזו, משום דיכול אדם ליתן מתנה כזו שיהיה לה דין ירושה היינו שיקנה ברגע המיתה דזה פירש למיתה וזה פירש לחיים ואף שגם היורשין יורשין אז דכיון שלא הופסק אף רגע בין השלו לקנין המקבל ברשות היורשין יכול ליתן שיומסר תיכף משלו לרשות המקבל.   אבל הוא רק כשא"צ קנין דבצריך קנין הלא עכ"פ אינו אז בעולם להקנות וממילא נשארו של היורשין שאין צריכין להקנאתו.   וא"כ גם בצואה שנמסרה לדינא דמלכותא שיעשו ודאי כדבריה שאין לך גמ"ד גדול מזה וא"צ קנין יקנה המקבל תיכף בלא הפסק רשות אחר, שיכול זה ליתן.  </w:t>
      </w:r>
    </w:p>
    <w:p w14:paraId="23963B29" w14:textId="77777777" w:rsidR="00C366B2" w:rsidRPr="008D779A" w:rsidRDefault="00C366B2" w:rsidP="00C366B2">
      <w:pPr>
        <w:rPr>
          <w:rtl/>
        </w:rPr>
      </w:pPr>
      <w:r w:rsidRPr="008D779A">
        <w:rPr>
          <w:rFonts w:hint="cs"/>
          <w:rtl/>
        </w:rPr>
        <w:t>...</w:t>
      </w:r>
      <w:r w:rsidRPr="008D779A">
        <w:rPr>
          <w:rtl/>
        </w:rPr>
        <w:t>וזהו טעם גדול למה שבארץ הזאת נוהגים לסמוך על צואות כאלו ואין חוששין מליקח המעות לצדקה ואם כי לא נחתו לזה מ"מ כיוונו האמת ואם אינם נביאים בני נביאים הם.</w:t>
      </w:r>
      <w:r w:rsidRPr="008D779A">
        <w:rPr>
          <w:rFonts w:hint="cs"/>
          <w:rtl/>
        </w:rPr>
        <w:t>..</w:t>
      </w:r>
    </w:p>
    <w:p w14:paraId="55684CC4" w14:textId="43232861" w:rsidR="00C366B2" w:rsidRDefault="00C366B2" w:rsidP="00C366B2">
      <w:pPr>
        <w:pStyle w:val="Heading2"/>
        <w:rPr>
          <w:shd w:val="clear" w:color="auto" w:fill="FFFFFF"/>
          <w:rtl/>
        </w:rPr>
      </w:pPr>
      <w:r w:rsidRPr="008D779A">
        <w:rPr>
          <w:shd w:val="clear" w:color="auto" w:fill="FFFFFF"/>
          <w:rtl/>
        </w:rPr>
        <w:t>שו"ת לב אריה ח"ב סימן נז</w:t>
      </w:r>
    </w:p>
    <w:p w14:paraId="4A72C209" w14:textId="31B090EC" w:rsidR="00CF3A38" w:rsidRDefault="00CF3A38" w:rsidP="00CF3A38">
      <w:pPr>
        <w:pStyle w:val="Heading1"/>
        <w:rPr>
          <w:rtl/>
        </w:rPr>
      </w:pPr>
      <w:r>
        <w:rPr>
          <w:rFonts w:hint="cs"/>
          <w:rtl/>
        </w:rPr>
        <w:t>שטרי פסיקתא, הן הן דברים הנקנים באמירה</w:t>
      </w:r>
    </w:p>
    <w:p w14:paraId="439357D2" w14:textId="7710203F" w:rsidR="002C72C9" w:rsidRDefault="002C72C9" w:rsidP="00CF3A38">
      <w:pPr>
        <w:pStyle w:val="Heading2"/>
        <w:rPr>
          <w:rtl/>
        </w:rPr>
      </w:pPr>
      <w:r>
        <w:rPr>
          <w:rFonts w:hint="cs"/>
          <w:rtl/>
        </w:rPr>
        <w:t>קידושין ט:</w:t>
      </w:r>
    </w:p>
    <w:p w14:paraId="40B20819" w14:textId="349D9FE6" w:rsidR="002C72C9" w:rsidRPr="002C72C9" w:rsidRDefault="002C72C9" w:rsidP="002C72C9">
      <w:pPr>
        <w:pStyle w:val="Heading2"/>
      </w:pPr>
      <w:r>
        <w:rPr>
          <w:rFonts w:hint="cs"/>
          <w:rtl/>
        </w:rPr>
        <w:t>כתובות קב.</w:t>
      </w:r>
    </w:p>
    <w:p w14:paraId="5DB47FB4" w14:textId="320D4EC3" w:rsidR="00CF3A38" w:rsidRDefault="00CF3A38" w:rsidP="00CF3A38">
      <w:pPr>
        <w:pStyle w:val="Heading2"/>
        <w:rPr>
          <w:rtl/>
        </w:rPr>
      </w:pPr>
      <w:r>
        <w:rPr>
          <w:rFonts w:hint="cs"/>
          <w:rtl/>
        </w:rPr>
        <w:t>גינת אגוז עמ' קצג</w:t>
      </w:r>
    </w:p>
    <w:p w14:paraId="35E04741" w14:textId="40D24FBD" w:rsidR="002C72C9" w:rsidRDefault="00B576B5" w:rsidP="00B576B5">
      <w:pPr>
        <w:pStyle w:val="Heading1"/>
        <w:rPr>
          <w:rtl/>
        </w:rPr>
      </w:pPr>
      <w:r>
        <w:rPr>
          <w:rFonts w:hint="cs"/>
          <w:rtl/>
        </w:rPr>
        <w:t xml:space="preserve">רבי יהודה הנשיא </w:t>
      </w:r>
      <w:r>
        <w:rPr>
          <w:rtl/>
        </w:rPr>
        <w:t>–</w:t>
      </w:r>
      <w:r>
        <w:rPr>
          <w:rFonts w:hint="cs"/>
          <w:rtl/>
        </w:rPr>
        <w:t xml:space="preserve"> אומר אני</w:t>
      </w:r>
    </w:p>
    <w:p w14:paraId="2F9468BC" w14:textId="77777777" w:rsidR="00B576B5" w:rsidRDefault="005D6BDB" w:rsidP="00B576B5">
      <w:pPr>
        <w:pStyle w:val="Heading2"/>
      </w:pPr>
      <w:hyperlink r:id="rId8" w:history="1">
        <w:r w:rsidR="00B576B5" w:rsidRPr="00141744">
          <w:rPr>
            <w:rStyle w:val="Hyperlink"/>
            <w:rFonts w:hint="cs"/>
            <w:rtl/>
          </w:rPr>
          <w:t>בית האוצר (אנגל) א-ו כלל לג (</w:t>
        </w:r>
        <w:r w:rsidR="00B576B5" w:rsidRPr="00141744">
          <w:rPr>
            <w:rStyle w:val="Hyperlink"/>
          </w:rPr>
          <w:t>HebrewBooks Link</w:t>
        </w:r>
        <w:r w:rsidR="00B576B5" w:rsidRPr="00141744">
          <w:rPr>
            <w:rStyle w:val="Hyperlink"/>
            <w:rFonts w:hint="cs"/>
            <w:rtl/>
          </w:rPr>
          <w:t>)</w:t>
        </w:r>
      </w:hyperlink>
    </w:p>
    <w:p w14:paraId="6B82BF13" w14:textId="2F49127F" w:rsidR="00B576B5" w:rsidRDefault="00B576B5" w:rsidP="00B576B5">
      <w:pPr>
        <w:rPr>
          <w:rtl/>
        </w:rPr>
      </w:pPr>
      <w:r>
        <w:rPr>
          <w:rFonts w:hint="cs"/>
          <w:rtl/>
        </w:rPr>
        <w:lastRenderedPageBreak/>
        <w:t>הנה</w:t>
      </w:r>
      <w:r w:rsidRPr="00A82AE4">
        <w:rPr>
          <w:rtl/>
        </w:rPr>
        <w:t xml:space="preserve"> הבנת ענין הלשון אומר אנ</w:t>
      </w:r>
      <w:r>
        <w:rPr>
          <w:rtl/>
        </w:rPr>
        <w:t>י שהי' שגור על לשונו של רבי נר</w:t>
      </w:r>
      <w:r>
        <w:rPr>
          <w:rFonts w:hint="cs"/>
          <w:rtl/>
        </w:rPr>
        <w:t>א</w:t>
      </w:r>
      <w:r w:rsidRPr="00A82AE4">
        <w:rPr>
          <w:rtl/>
        </w:rPr>
        <w:t>ה דהוא דרך ענוה</w:t>
      </w:r>
      <w:r>
        <w:rPr>
          <w:rFonts w:hint="cs"/>
          <w:rtl/>
        </w:rPr>
        <w:t>,</w:t>
      </w:r>
      <w:r w:rsidR="00FB09E1">
        <w:rPr>
          <w:rtl/>
        </w:rPr>
        <w:t xml:space="preserve"> ע' סוטה דף מ"ט ע"א משמ</w:t>
      </w:r>
      <w:r w:rsidR="00FB09E1">
        <w:rPr>
          <w:rFonts w:hint="cs"/>
          <w:rtl/>
        </w:rPr>
        <w:t>ת</w:t>
      </w:r>
      <w:r w:rsidRPr="00A82AE4">
        <w:rPr>
          <w:rtl/>
        </w:rPr>
        <w:t xml:space="preserve"> רבי בטלה ענוה </w:t>
      </w:r>
      <w:r w:rsidR="007B7BD8">
        <w:rPr>
          <w:rFonts w:hint="cs"/>
          <w:rtl/>
        </w:rPr>
        <w:t>כ</w:t>
      </w:r>
      <w:r w:rsidRPr="00A82AE4">
        <w:rPr>
          <w:rtl/>
        </w:rPr>
        <w:t>ו' ובהוריות דף י"ד ע"א אמר רבא א</w:t>
      </w:r>
      <w:r w:rsidR="00FF001A">
        <w:rPr>
          <w:rFonts w:hint="cs"/>
          <w:rtl/>
        </w:rPr>
        <w:t>פ</w:t>
      </w:r>
      <w:r w:rsidR="005D6BDB">
        <w:rPr>
          <w:rtl/>
        </w:rPr>
        <w:t>י' רבי דענוותנא הוא</w:t>
      </w:r>
      <w:r w:rsidR="005D6BDB">
        <w:rPr>
          <w:rFonts w:hint="cs"/>
          <w:rtl/>
        </w:rPr>
        <w:t>.</w:t>
      </w:r>
      <w:bookmarkStart w:id="0" w:name="_GoBack"/>
      <w:bookmarkEnd w:id="0"/>
      <w:r>
        <w:rPr>
          <w:rFonts w:hint="cs"/>
          <w:rtl/>
        </w:rPr>
        <w:t xml:space="preserve">.. </w:t>
      </w:r>
      <w:r w:rsidRPr="00A82AE4">
        <w:rPr>
          <w:rtl/>
        </w:rPr>
        <w:t>שלא להראות ע</w:t>
      </w:r>
      <w:r>
        <w:rPr>
          <w:rFonts w:hint="cs"/>
          <w:rtl/>
        </w:rPr>
        <w:t>צ</w:t>
      </w:r>
      <w:r w:rsidRPr="00A82AE4">
        <w:rPr>
          <w:rtl/>
        </w:rPr>
        <w:t>מו גדול הי' עושה כן עכ</w:t>
      </w:r>
      <w:r>
        <w:rPr>
          <w:rFonts w:hint="cs"/>
          <w:rtl/>
        </w:rPr>
        <w:t>"</w:t>
      </w:r>
      <w:r>
        <w:rPr>
          <w:rtl/>
        </w:rPr>
        <w:t>ל</w:t>
      </w:r>
      <w:r w:rsidRPr="00A82AE4">
        <w:rPr>
          <w:rtl/>
        </w:rPr>
        <w:t xml:space="preserve"> והכוונה שאיננו אומר את הדין והדבר ד</w:t>
      </w:r>
      <w:r>
        <w:rPr>
          <w:rFonts w:hint="cs"/>
          <w:rtl/>
        </w:rPr>
        <w:t>רך</w:t>
      </w:r>
      <w:r w:rsidRPr="00A82AE4">
        <w:rPr>
          <w:rtl/>
        </w:rPr>
        <w:t xml:space="preserve"> החלט רק אומר אותו ביי</w:t>
      </w:r>
      <w:r>
        <w:rPr>
          <w:rFonts w:hint="cs"/>
          <w:rtl/>
        </w:rPr>
        <w:t>ח</w:t>
      </w:r>
      <w:r w:rsidRPr="00A82AE4">
        <w:rPr>
          <w:rtl/>
        </w:rPr>
        <w:t>ו</w:t>
      </w:r>
      <w:r>
        <w:rPr>
          <w:rFonts w:hint="cs"/>
          <w:rtl/>
        </w:rPr>
        <w:t>ס</w:t>
      </w:r>
      <w:r w:rsidRPr="00A82AE4">
        <w:rPr>
          <w:rtl/>
        </w:rPr>
        <w:t xml:space="preserve"> אל עצמו שלו נר</w:t>
      </w:r>
      <w:r>
        <w:rPr>
          <w:rFonts w:hint="cs"/>
          <w:rtl/>
        </w:rPr>
        <w:t>א</w:t>
      </w:r>
      <w:r w:rsidRPr="00A82AE4">
        <w:rPr>
          <w:rtl/>
        </w:rPr>
        <w:t>ה כך וכדרך שרגילין היום לכתוב מליצת נלענ</w:t>
      </w:r>
      <w:r>
        <w:rPr>
          <w:rFonts w:hint="cs"/>
          <w:rtl/>
        </w:rPr>
        <w:t>"</w:t>
      </w:r>
      <w:r w:rsidRPr="00A82AE4">
        <w:rPr>
          <w:rtl/>
        </w:rPr>
        <w:t xml:space="preserve">ד כן הוא </w:t>
      </w:r>
      <w:r>
        <w:rPr>
          <w:rFonts w:hint="cs"/>
          <w:rtl/>
        </w:rPr>
        <w:t>ג</w:t>
      </w:r>
      <w:r w:rsidRPr="00A82AE4">
        <w:rPr>
          <w:rtl/>
        </w:rPr>
        <w:t>"כ מעין עני</w:t>
      </w:r>
      <w:r>
        <w:rPr>
          <w:rFonts w:hint="cs"/>
          <w:rtl/>
        </w:rPr>
        <w:t>ן</w:t>
      </w:r>
      <w:r w:rsidRPr="00A82AE4">
        <w:rPr>
          <w:rtl/>
        </w:rPr>
        <w:t xml:space="preserve"> זה הלשון א</w:t>
      </w:r>
      <w:r>
        <w:rPr>
          <w:rtl/>
        </w:rPr>
        <w:t>ומר אני</w:t>
      </w:r>
      <w:r>
        <w:rPr>
          <w:rFonts w:hint="cs"/>
          <w:rtl/>
        </w:rPr>
        <w:t>... ע"ש</w:t>
      </w:r>
    </w:p>
    <w:p w14:paraId="5F49DC47" w14:textId="77777777" w:rsidR="00B576B5" w:rsidRPr="00B576B5" w:rsidRDefault="00B576B5" w:rsidP="00B576B5">
      <w:pPr>
        <w:rPr>
          <w:rtl/>
        </w:rPr>
      </w:pPr>
    </w:p>
    <w:sectPr w:rsidR="00B576B5" w:rsidRPr="00B576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41BD" w14:textId="77777777" w:rsidR="00130BF4" w:rsidRDefault="00130BF4" w:rsidP="009F4441">
      <w:pPr>
        <w:spacing w:after="0" w:line="240" w:lineRule="auto"/>
      </w:pPr>
      <w:r>
        <w:separator/>
      </w:r>
    </w:p>
  </w:endnote>
  <w:endnote w:type="continuationSeparator" w:id="0">
    <w:p w14:paraId="2DEEBB9A" w14:textId="77777777" w:rsidR="00130BF4" w:rsidRDefault="00130BF4"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D35B"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AB4F" w14:textId="77777777" w:rsidR="00130BF4" w:rsidRDefault="00130BF4" w:rsidP="009F4441">
      <w:pPr>
        <w:spacing w:after="0" w:line="240" w:lineRule="auto"/>
      </w:pPr>
      <w:r>
        <w:separator/>
      </w:r>
    </w:p>
  </w:footnote>
  <w:footnote w:type="continuationSeparator" w:id="0">
    <w:p w14:paraId="0013163F" w14:textId="77777777" w:rsidR="00130BF4" w:rsidRDefault="00130BF4" w:rsidP="009F4441">
      <w:pPr>
        <w:spacing w:after="0" w:line="240" w:lineRule="auto"/>
      </w:pPr>
      <w:r>
        <w:continuationSeparator/>
      </w:r>
    </w:p>
  </w:footnote>
  <w:footnote w:id="1">
    <w:p w14:paraId="5DE899C5" w14:textId="77777777" w:rsidR="0047306D" w:rsidRPr="003736D6" w:rsidRDefault="0047306D" w:rsidP="0047306D">
      <w:pPr>
        <w:pStyle w:val="FootnoteText"/>
        <w:rPr>
          <w:sz w:val="16"/>
          <w:szCs w:val="16"/>
        </w:rPr>
      </w:pPr>
      <w:r w:rsidRPr="003736D6">
        <w:rPr>
          <w:rStyle w:val="FootnoteReference"/>
          <w:sz w:val="16"/>
          <w:szCs w:val="16"/>
        </w:rPr>
        <w:footnoteRef/>
      </w:r>
      <w:r w:rsidRPr="003736D6">
        <w:rPr>
          <w:sz w:val="16"/>
          <w:szCs w:val="16"/>
          <w:rtl/>
        </w:rPr>
        <w:t xml:space="preserve"> </w:t>
      </w:r>
      <w:r w:rsidRPr="003736D6">
        <w:rPr>
          <w:rFonts w:hint="cs"/>
          <w:sz w:val="16"/>
          <w:szCs w:val="16"/>
          <w:rtl/>
        </w:rPr>
        <w:t xml:space="preserve">א"ה: צ"ע שלחכמי ספרד אבלות יום ראשון הוא מן התורה. </w:t>
      </w:r>
      <w:hyperlink r:id="rId1" w:history="1">
        <w:r w:rsidRPr="003736D6">
          <w:rPr>
            <w:rStyle w:val="Hyperlink"/>
            <w:rFonts w:hint="cs"/>
            <w:sz w:val="16"/>
            <w:szCs w:val="16"/>
            <w:rtl/>
          </w:rPr>
          <w:t>ע' במש"כ אחד מחברי הכולל לפני כמה שנים בעמ' ט</w:t>
        </w:r>
      </w:hyperlink>
    </w:p>
  </w:footnote>
  <w:footnote w:id="2">
    <w:p w14:paraId="1D55CFE0" w14:textId="77777777" w:rsidR="00C366B2" w:rsidRDefault="00C366B2" w:rsidP="00C366B2">
      <w:pPr>
        <w:pStyle w:val="FootnoteText"/>
        <w:rPr>
          <w:rtl/>
        </w:rPr>
      </w:pPr>
      <w:r>
        <w:rPr>
          <w:rStyle w:val="FootnoteReference"/>
        </w:rPr>
        <w:footnoteRef/>
      </w:r>
      <w:r>
        <w:t xml:space="preserve"> </w:t>
      </w:r>
      <w:r>
        <w:rPr>
          <w:rtl/>
        </w:rPr>
        <w:t>ע"ע בספר זכרון עליזה</w:t>
      </w:r>
      <w:r>
        <w:t xml:space="preserve"> (</w:t>
      </w:r>
      <w:hyperlink r:id="rId2" w:anchor="v=onepage&amp;q=rav%20moshe%20secular%20will&amp;f=false" w:history="1">
        <w:r w:rsidRPr="00E45497">
          <w:rPr>
            <w:rStyle w:val="Hyperlink"/>
          </w:rPr>
          <w:t>Grey Matter vol. 3</w:t>
        </w:r>
      </w:hyperlink>
      <w:r>
        <w:t xml:space="preserve">) </w:t>
      </w:r>
      <w:r>
        <w:rPr>
          <w:rtl/>
        </w:rPr>
        <w:t>עמ' 279 ואילך</w:t>
      </w:r>
      <w:r>
        <w:rPr>
          <w:rt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D796" w14:textId="4125A201"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130BF4" w:rsidRPr="00130BF4">
      <w:rPr>
        <w:rtl/>
      </w:rPr>
      <w:t xml:space="preserve">   ‏‏‏כ"ז חשון תשע"ז</w:t>
    </w:r>
    <w:r w:rsidR="00C47AA7">
      <w:rPr>
        <w:rtl/>
      </w:rPr>
      <w:tab/>
    </w:r>
    <w:r>
      <w:rPr>
        <w:rtl/>
      </w:rPr>
      <w:tab/>
    </w:r>
    <w:r w:rsidRPr="00C52284">
      <w:rPr>
        <w:rtl/>
      </w:rPr>
      <w:t xml:space="preserve"> שיעור </w:t>
    </w:r>
    <w:r w:rsidR="00130BF4">
      <w:rPr>
        <w:rFonts w:hint="cs"/>
        <w:rtl/>
      </w:rPr>
      <w:t>ל"</w:t>
    </w:r>
    <w:r w:rsidR="002239DF">
      <w:rPr>
        <w:rFonts w:hint="cs"/>
        <w:rtl/>
      </w:rPr>
      <w:t>ח</w:t>
    </w:r>
    <w:r>
      <w:rPr>
        <w:rFonts w:hint="cs"/>
        <w:rtl/>
      </w:rPr>
      <w:t xml:space="preserve"> -  מסכת קידושין </w:t>
    </w:r>
    <w:r w:rsidR="00130BF4">
      <w:rPr>
        <w:rFonts w:hint="cs"/>
        <w:rtl/>
      </w:rPr>
      <w:t>ט.-ט: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F4"/>
    <w:rsid w:val="000A47A0"/>
    <w:rsid w:val="000B6379"/>
    <w:rsid w:val="000C25FD"/>
    <w:rsid w:val="000D3D5E"/>
    <w:rsid w:val="00130BF4"/>
    <w:rsid w:val="001A3E2F"/>
    <w:rsid w:val="002239DF"/>
    <w:rsid w:val="00263CD8"/>
    <w:rsid w:val="002A4CB8"/>
    <w:rsid w:val="002C72C9"/>
    <w:rsid w:val="002D7162"/>
    <w:rsid w:val="003B727B"/>
    <w:rsid w:val="00440DD9"/>
    <w:rsid w:val="00444269"/>
    <w:rsid w:val="0047306D"/>
    <w:rsid w:val="004B3BD6"/>
    <w:rsid w:val="004C3064"/>
    <w:rsid w:val="005D6BDB"/>
    <w:rsid w:val="005F1D96"/>
    <w:rsid w:val="007B7BD8"/>
    <w:rsid w:val="00831CB5"/>
    <w:rsid w:val="008605C3"/>
    <w:rsid w:val="0087646E"/>
    <w:rsid w:val="009F4441"/>
    <w:rsid w:val="00A26DFA"/>
    <w:rsid w:val="00A451EA"/>
    <w:rsid w:val="00B07A4C"/>
    <w:rsid w:val="00B34115"/>
    <w:rsid w:val="00B576B5"/>
    <w:rsid w:val="00C0686E"/>
    <w:rsid w:val="00C366B2"/>
    <w:rsid w:val="00C47AA7"/>
    <w:rsid w:val="00C85D5D"/>
    <w:rsid w:val="00CE129C"/>
    <w:rsid w:val="00CF3A38"/>
    <w:rsid w:val="00D50831"/>
    <w:rsid w:val="00D6184C"/>
    <w:rsid w:val="00F25E54"/>
    <w:rsid w:val="00FB09E1"/>
    <w:rsid w:val="00FF0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F4E8E"/>
  <w15:chartTrackingRefBased/>
  <w15:docId w15:val="{70EF9139-B0F6-4B81-A014-E4A37620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306D"/>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730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47306D"/>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47306D"/>
    <w:rPr>
      <w:rFonts w:ascii="Narkisim" w:hAnsi="Narkisim" w:cs="Narkisim"/>
      <w:sz w:val="20"/>
      <w:szCs w:val="20"/>
    </w:rPr>
  </w:style>
  <w:style w:type="paragraph" w:styleId="FootnoteText">
    <w:name w:val="footnote text"/>
    <w:basedOn w:val="Normal"/>
    <w:link w:val="FootnoteTextChar"/>
    <w:uiPriority w:val="99"/>
    <w:unhideWhenUsed/>
    <w:rsid w:val="0047306D"/>
    <w:pPr>
      <w:spacing w:after="0" w:line="240" w:lineRule="auto"/>
    </w:pPr>
    <w:rPr>
      <w:sz w:val="20"/>
      <w:szCs w:val="20"/>
    </w:rPr>
  </w:style>
  <w:style w:type="character" w:customStyle="1" w:styleId="FootnoteTextChar1">
    <w:name w:val="Footnote Text Char1"/>
    <w:basedOn w:val="DefaultParagraphFont"/>
    <w:uiPriority w:val="99"/>
    <w:semiHidden/>
    <w:rsid w:val="0047306D"/>
    <w:rPr>
      <w:rFonts w:ascii="Narkisim" w:hAnsi="Narkisim" w:cs="Narkisim"/>
      <w:sz w:val="20"/>
      <w:szCs w:val="20"/>
    </w:rPr>
  </w:style>
  <w:style w:type="character" w:styleId="FootnoteReference">
    <w:name w:val="footnote reference"/>
    <w:basedOn w:val="DefaultParagraphFont"/>
    <w:uiPriority w:val="99"/>
    <w:semiHidden/>
    <w:unhideWhenUsed/>
    <w:rsid w:val="0047306D"/>
    <w:rPr>
      <w:vertAlign w:val="superscript"/>
    </w:rPr>
  </w:style>
  <w:style w:type="character" w:styleId="Hyperlink">
    <w:name w:val="Hyperlink"/>
    <w:basedOn w:val="DefaultParagraphFont"/>
    <w:uiPriority w:val="99"/>
    <w:unhideWhenUsed/>
    <w:rsid w:val="00473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20921&amp;st=&amp;pgnum=96&amp;hilite=" TargetMode="External"/><Relationship Id="rId3" Type="http://schemas.openxmlformats.org/officeDocument/2006/relationships/settings" Target="settings.xml"/><Relationship Id="rId7" Type="http://schemas.openxmlformats.org/officeDocument/2006/relationships/hyperlink" Target="http://www.yutorah.org/lectures/lecture.cfm/736614/Jachter,_Rabbi_Cha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books.google.com/books?id=vmnyWXOZZvgC&amp;pg=PA281&amp;lpg=PA281&amp;dq=rav+moshe+secular+will&amp;source=bl&amp;ots=pyDK1wzSCg&amp;sig=zknXmdQIzJYq_AJ4Fd8hx9gKmJo&amp;hl=en&amp;sa=X&amp;ved=0ahUKEwiO5u6d4vfKAhVFHD4KHdwRBZ8Q6AEIQjAG" TargetMode="External"/><Relationship Id="rId1" Type="http://schemas.openxmlformats.org/officeDocument/2006/relationships/hyperlink" Target="http://www.yutorah.org/lectures/lecture.cfm/730288/rabbi-gedalyah-berger/%D7%9B%D7%99%D7%95%D7%9F-%D7%A9%D7%A0%D7%AA%D7%9F-%D7%A2%D7%99%D7%A0%D7%99%D7%95-%D7%9C%D7%92%D7%A8%D7%A9%D7%94-%D7%91%D7%99%D7%98%D7%95%D7%9C-%D7%93%D7%99%D7%A0%D7%99-%D7%90%D7%99%D7%A9%D7%95%D7%AA-%D7%9C%D7%A4%D7%A0%D7%99-%D7%92%D7%9E%D7%A8-%D7%92%D7%99%D7%A8%D7%95%D7%A9%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3DF1-033E-4282-9548-2B76CD38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Shiur.dotx</Template>
  <TotalTime>91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34</cp:revision>
  <dcterms:created xsi:type="dcterms:W3CDTF">2016-11-28T17:55:00Z</dcterms:created>
  <dcterms:modified xsi:type="dcterms:W3CDTF">2016-11-29T14:37:00Z</dcterms:modified>
</cp:coreProperties>
</file>