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AC2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9F21B14" w14:textId="1101E2C0" w:rsidR="009F4441" w:rsidRDefault="00DA6AA7" w:rsidP="009F4441">
      <w:pPr>
        <w:pStyle w:val="Subtitle"/>
        <w:rPr>
          <w:rtl/>
        </w:rPr>
      </w:pPr>
      <w:r>
        <w:rPr>
          <w:rFonts w:hint="cs"/>
          <w:rtl/>
        </w:rPr>
        <w:t>עניני ראש השנה</w:t>
      </w:r>
      <w:r w:rsidR="00F019D1">
        <w:rPr>
          <w:rFonts w:hint="cs"/>
          <w:rtl/>
        </w:rPr>
        <w:t xml:space="preserve"> ב'</w:t>
      </w:r>
    </w:p>
    <w:p w14:paraId="76FC9742" w14:textId="24791473" w:rsidR="00F019D1" w:rsidRDefault="00F019D1" w:rsidP="009F4441">
      <w:pPr>
        <w:pStyle w:val="Heading1"/>
        <w:rPr>
          <w:rFonts w:hint="cs"/>
          <w:rtl/>
        </w:rPr>
      </w:pPr>
      <w:r>
        <w:rPr>
          <w:rFonts w:hint="cs"/>
          <w:rtl/>
        </w:rPr>
        <w:t xml:space="preserve">סליחות - מקור </w:t>
      </w:r>
      <w:r w:rsidR="007F180C">
        <w:rPr>
          <w:rFonts w:hint="cs"/>
          <w:rtl/>
        </w:rPr>
        <w:t>המנהג</w:t>
      </w:r>
    </w:p>
    <w:p w14:paraId="54123FC4" w14:textId="7449B484" w:rsidR="007F180C" w:rsidRPr="007F180C" w:rsidRDefault="007F180C" w:rsidP="007F180C">
      <w:pPr>
        <w:pStyle w:val="Heading2"/>
      </w:pPr>
      <w:r>
        <w:rPr>
          <w:rFonts w:hint="cs"/>
          <w:rtl/>
        </w:rPr>
        <w:t>מפניני הרב עמ' קנד</w:t>
      </w:r>
    </w:p>
    <w:p w14:paraId="5805BB36" w14:textId="1154B6EB" w:rsidR="009F4441" w:rsidRDefault="00F019D1" w:rsidP="00F019D1">
      <w:pPr>
        <w:pStyle w:val="Heading1"/>
      </w:pPr>
      <w:r>
        <w:rPr>
          <w:rFonts w:hint="cs"/>
          <w:rtl/>
        </w:rPr>
        <w:t>סליחות - זמן אמירת</w:t>
      </w:r>
      <w:r w:rsidR="00F656A7">
        <w:rPr>
          <w:rFonts w:hint="cs"/>
          <w:rtl/>
        </w:rPr>
        <w:t>ן</w:t>
      </w:r>
    </w:p>
    <w:p w14:paraId="6EEBE4A6" w14:textId="3DE19439" w:rsidR="009F4441" w:rsidRDefault="00F019D1" w:rsidP="009F4441">
      <w:pPr>
        <w:pStyle w:val="Heading2"/>
        <w:rPr>
          <w:rFonts w:hint="cs"/>
          <w:rtl/>
        </w:rPr>
      </w:pPr>
      <w:r>
        <w:rPr>
          <w:rFonts w:hint="cs"/>
          <w:rtl/>
        </w:rPr>
        <w:t>מפניני הרב עמ' קנה</w:t>
      </w:r>
    </w:p>
    <w:p w14:paraId="12002002" w14:textId="19D4906A" w:rsidR="00F019D1" w:rsidRDefault="00F00C82" w:rsidP="00F00C82">
      <w:pPr>
        <w:pStyle w:val="Heading1"/>
        <w:rPr>
          <w:rtl/>
        </w:rPr>
      </w:pPr>
      <w:r>
        <w:rPr>
          <w:rFonts w:hint="cs"/>
          <w:rtl/>
        </w:rPr>
        <w:t xml:space="preserve">י"ג מדות </w:t>
      </w:r>
      <w:r>
        <w:rPr>
          <w:rtl/>
        </w:rPr>
        <w:t>–</w:t>
      </w:r>
      <w:r>
        <w:rPr>
          <w:rFonts w:hint="cs"/>
          <w:rtl/>
        </w:rPr>
        <w:t xml:space="preserve"> דבר שבקדושה</w:t>
      </w:r>
    </w:p>
    <w:p w14:paraId="0AB4ED2E" w14:textId="3D84EF2D" w:rsidR="00F00C82" w:rsidRPr="00F00C82" w:rsidRDefault="00F00C82" w:rsidP="00D74C16">
      <w:pPr>
        <w:pStyle w:val="Heading2"/>
        <w:rPr>
          <w:rFonts w:hint="cs"/>
          <w:rtl/>
        </w:rPr>
      </w:pPr>
      <w:r>
        <w:rPr>
          <w:rFonts w:hint="cs"/>
          <w:rtl/>
        </w:rPr>
        <w:t xml:space="preserve">מפניני הרב עמ' </w:t>
      </w:r>
      <w:r w:rsidR="00D74C16">
        <w:rPr>
          <w:rFonts w:hint="cs"/>
          <w:rtl/>
        </w:rPr>
        <w:t>קנג</w:t>
      </w:r>
    </w:p>
    <w:p w14:paraId="18FC82F4" w14:textId="77777777" w:rsidR="005772E2" w:rsidRDefault="005772E2" w:rsidP="005772E2">
      <w:pPr>
        <w:pStyle w:val="Heading1"/>
        <w:rPr>
          <w:rtl/>
        </w:rPr>
      </w:pPr>
      <w:bookmarkStart w:id="0" w:name="_Toc459557550"/>
      <w:r>
        <w:rPr>
          <w:rFonts w:hint="cs"/>
          <w:rtl/>
        </w:rPr>
        <w:t xml:space="preserve">עשרת ימי תשובה </w:t>
      </w:r>
      <w:r>
        <w:rPr>
          <w:rtl/>
        </w:rPr>
        <w:t>–</w:t>
      </w:r>
      <w:r>
        <w:rPr>
          <w:rFonts w:hint="cs"/>
          <w:rtl/>
        </w:rPr>
        <w:t xml:space="preserve"> שיר המעלות</w:t>
      </w:r>
      <w:bookmarkEnd w:id="0"/>
    </w:p>
    <w:p w14:paraId="2A38962C" w14:textId="07E55D4E" w:rsidR="005772E2" w:rsidRDefault="005772E2" w:rsidP="005772E2">
      <w:pPr>
        <w:pStyle w:val="Heading2"/>
        <w:rPr>
          <w:rtl/>
        </w:rPr>
      </w:pPr>
      <w:r>
        <w:rPr>
          <w:rFonts w:hint="cs"/>
          <w:rtl/>
        </w:rPr>
        <w:t>מגן אברהם נד:ב ודגול מרבבה שם</w:t>
      </w:r>
    </w:p>
    <w:p w14:paraId="62162340" w14:textId="7586B07F" w:rsidR="003F2A09" w:rsidRDefault="003F2A09" w:rsidP="00834295">
      <w:pPr>
        <w:pStyle w:val="Heading1"/>
        <w:rPr>
          <w:rtl/>
        </w:rPr>
      </w:pPr>
      <w:r>
        <w:rPr>
          <w:rFonts w:hint="cs"/>
          <w:rtl/>
        </w:rPr>
        <w:t>קידוש קודם התקיעות</w:t>
      </w:r>
      <w:r w:rsidR="00382211">
        <w:rPr>
          <w:rFonts w:hint="cs"/>
          <w:rtl/>
        </w:rPr>
        <w:t xml:space="preserve"> </w:t>
      </w:r>
      <w:r w:rsidR="00382211">
        <w:rPr>
          <w:rtl/>
        </w:rPr>
        <w:t>–</w:t>
      </w:r>
      <w:r w:rsidR="00382211">
        <w:rPr>
          <w:rFonts w:hint="cs"/>
          <w:rtl/>
        </w:rPr>
        <w:t xml:space="preserve"> דעת הרב יוסף אליהו הענקין</w:t>
      </w:r>
      <w:bookmarkStart w:id="1" w:name="_GoBack"/>
      <w:bookmarkEnd w:id="1"/>
    </w:p>
    <w:p w14:paraId="31323525" w14:textId="17F289C7" w:rsidR="00E90E91" w:rsidRPr="00E90E91" w:rsidRDefault="00C6509B" w:rsidP="00E90E91">
      <w:pPr>
        <w:pStyle w:val="Heading2"/>
      </w:pPr>
      <w:r>
        <w:rPr>
          <w:rFonts w:hint="cs"/>
          <w:rtl/>
        </w:rPr>
        <w:t>קובץ הפרדס (מד:א), קובץ נועם (טז עמ' קיא), לב עיברא (עמ' מח), תשובות עיברא (לג:א-ב), לוח עזרת תורה, שו"ת גבורות אליהו (אורח חיים קנח-קס)</w:t>
      </w:r>
      <w:r w:rsidR="00221887">
        <w:rPr>
          <w:rFonts w:hint="cs"/>
          <w:rtl/>
        </w:rPr>
        <w:t xml:space="preserve"> ועוד כהנה</w:t>
      </w:r>
      <w:r w:rsidR="00E90E91">
        <w:rPr>
          <w:rStyle w:val="FootnoteReference"/>
          <w:rtl/>
        </w:rPr>
        <w:footnoteReference w:id="1"/>
      </w:r>
    </w:p>
    <w:p w14:paraId="05392DF1" w14:textId="660ED534" w:rsidR="00834295" w:rsidRDefault="00834295" w:rsidP="00834295">
      <w:pPr>
        <w:pStyle w:val="Heading1"/>
        <w:rPr>
          <w:rtl/>
        </w:rPr>
      </w:pPr>
      <w:r>
        <w:rPr>
          <w:rFonts w:hint="cs"/>
          <w:rtl/>
        </w:rPr>
        <w:t>דם ירוק</w:t>
      </w:r>
    </w:p>
    <w:p w14:paraId="49D5F145" w14:textId="02E244AD" w:rsidR="00C53B57" w:rsidRDefault="00C53B57" w:rsidP="00C53B57">
      <w:pPr>
        <w:pStyle w:val="Heading2"/>
        <w:rPr>
          <w:rtl/>
        </w:rPr>
      </w:pPr>
      <w:r>
        <w:rPr>
          <w:rFonts w:hint="cs"/>
          <w:rtl/>
        </w:rPr>
        <w:t>נדה יט.</w:t>
      </w:r>
    </w:p>
    <w:p w14:paraId="3D715227" w14:textId="48262056" w:rsidR="00CD01D7" w:rsidRPr="00CD01D7" w:rsidRDefault="00CD01D7" w:rsidP="00CD01D7">
      <w:pPr>
        <w:pStyle w:val="Heading2"/>
      </w:pPr>
      <w:r>
        <w:rPr>
          <w:rFonts w:hint="cs"/>
          <w:rtl/>
        </w:rPr>
        <w:t>תוספות סוכה לא.</w:t>
      </w:r>
      <w:r w:rsidR="00891502">
        <w:rPr>
          <w:rFonts w:hint="cs"/>
          <w:rtl/>
        </w:rPr>
        <w:t xml:space="preserve"> ד"ה ירוק</w:t>
      </w:r>
    </w:p>
    <w:p w14:paraId="059874FC" w14:textId="60E7FC7B" w:rsidR="00834295" w:rsidRPr="00834295" w:rsidRDefault="00834295" w:rsidP="00834295">
      <w:pPr>
        <w:pStyle w:val="Heading2"/>
        <w:rPr>
          <w:rtl/>
        </w:rPr>
      </w:pPr>
      <w:r>
        <w:rPr>
          <w:rFonts w:hint="cs"/>
          <w:rtl/>
        </w:rPr>
        <w:t>מפניני הרב עמ' קצח</w:t>
      </w:r>
    </w:p>
    <w:p w14:paraId="717053C3" w14:textId="07D6959E" w:rsidR="000C25FD" w:rsidRDefault="00816E28" w:rsidP="00816E28">
      <w:pPr>
        <w:pStyle w:val="Heading1"/>
        <w:rPr>
          <w:rtl/>
        </w:rPr>
      </w:pPr>
      <w:r>
        <w:rPr>
          <w:rFonts w:hint="cs"/>
          <w:rtl/>
        </w:rPr>
        <w:t>אתרוג הירוק</w:t>
      </w:r>
    </w:p>
    <w:p w14:paraId="4E368E50" w14:textId="0A30B5B1" w:rsidR="00816E28" w:rsidRDefault="00816E28" w:rsidP="00816E28">
      <w:pPr>
        <w:pStyle w:val="Heading2"/>
        <w:rPr>
          <w:rtl/>
        </w:rPr>
      </w:pPr>
      <w:r>
        <w:rPr>
          <w:rFonts w:hint="cs"/>
          <w:rtl/>
        </w:rPr>
        <w:t>שו"ת משכנות יעקב ח"א עמ' 5</w:t>
      </w:r>
    </w:p>
    <w:p w14:paraId="09B70A5E" w14:textId="078FEF4A" w:rsidR="00816E28" w:rsidRDefault="001179C9" w:rsidP="00816E28">
      <w:pPr>
        <w:rPr>
          <w:rtl/>
        </w:rPr>
      </w:pPr>
      <w:r>
        <w:rPr>
          <w:noProof/>
        </w:rPr>
        <w:lastRenderedPageBreak/>
        <w:drawing>
          <wp:inline distT="0" distB="0" distL="0" distR="0" wp14:anchorId="37DBAE25" wp14:editId="1E0FDF44">
            <wp:extent cx="2854552" cy="143546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8142" cy="1437268"/>
                    </a:xfrm>
                    <a:prstGeom prst="rect">
                      <a:avLst/>
                    </a:prstGeom>
                  </pic:spPr>
                </pic:pic>
              </a:graphicData>
            </a:graphic>
          </wp:inline>
        </w:drawing>
      </w:r>
    </w:p>
    <w:p w14:paraId="534AA5D8" w14:textId="38CEEBBA" w:rsidR="00816E28" w:rsidRDefault="00816E28" w:rsidP="00816E28">
      <w:pPr>
        <w:pStyle w:val="Heading2"/>
        <w:rPr>
          <w:sz w:val="22"/>
          <w:szCs w:val="22"/>
        </w:rPr>
      </w:pPr>
      <w:r>
        <w:rPr>
          <w:rFonts w:hint="cs"/>
          <w:rtl/>
        </w:rPr>
        <w:t xml:space="preserve">שו"ת משכנות יעקב ח"א </w:t>
      </w:r>
      <w:r w:rsidR="001179C9">
        <w:rPr>
          <w:rFonts w:hint="cs"/>
          <w:rtl/>
        </w:rPr>
        <w:t>א</w:t>
      </w:r>
      <w:r w:rsidR="007520FC">
        <w:rPr>
          <w:rFonts w:hint="cs"/>
          <w:rtl/>
        </w:rPr>
        <w:t xml:space="preserve">ורח חיים </w:t>
      </w:r>
      <w:r>
        <w:rPr>
          <w:rFonts w:hint="cs"/>
          <w:rtl/>
        </w:rPr>
        <w:t>סימן קנו</w:t>
      </w:r>
      <w:r w:rsidR="00AF5D18">
        <w:rPr>
          <w:rFonts w:hint="cs"/>
          <w:rtl/>
        </w:rPr>
        <w:t xml:space="preserve"> </w:t>
      </w:r>
      <w:r w:rsidR="00AF5D18" w:rsidRPr="00AF5D18">
        <w:rPr>
          <w:rFonts w:hint="cs"/>
          <w:sz w:val="22"/>
          <w:szCs w:val="22"/>
          <w:rtl/>
        </w:rPr>
        <w:t>(</w:t>
      </w:r>
      <w:hyperlink r:id="rId7" w:history="1">
        <w:r w:rsidR="00AF5D18" w:rsidRPr="00AF5D18">
          <w:rPr>
            <w:rStyle w:val="Hyperlink"/>
            <w:rFonts w:hint="cs"/>
            <w:sz w:val="22"/>
            <w:szCs w:val="22"/>
            <w:rtl/>
          </w:rPr>
          <w:t>קישור</w:t>
        </w:r>
      </w:hyperlink>
      <w:r w:rsidR="00AF5D18" w:rsidRPr="00AF5D18">
        <w:rPr>
          <w:rFonts w:hint="cs"/>
          <w:sz w:val="22"/>
          <w:szCs w:val="22"/>
          <w:rtl/>
        </w:rPr>
        <w:t>)</w:t>
      </w:r>
    </w:p>
    <w:p w14:paraId="139D7706" w14:textId="0F92A349" w:rsidR="005B4257" w:rsidRPr="005B4257" w:rsidRDefault="005B4257" w:rsidP="003910C0">
      <w:pPr>
        <w:pStyle w:val="Heading2"/>
      </w:pPr>
      <w:r>
        <w:rPr>
          <w:rFonts w:hint="cs"/>
          <w:rtl/>
        </w:rPr>
        <w:t>חוט המשולש סימן כג משו"ת הגאון רבינו חיים זצ"ל</w:t>
      </w:r>
      <w:r w:rsidR="003910C0">
        <w:rPr>
          <w:rFonts w:hint="cs"/>
          <w:rtl/>
        </w:rPr>
        <w:t xml:space="preserve"> </w:t>
      </w:r>
      <w:r w:rsidR="003910C0" w:rsidRPr="003910C0">
        <w:rPr>
          <w:rFonts w:hint="cs"/>
          <w:sz w:val="22"/>
          <w:szCs w:val="22"/>
          <w:rtl/>
        </w:rPr>
        <w:t>(</w:t>
      </w:r>
      <w:hyperlink r:id="rId8" w:history="1">
        <w:r w:rsidR="003910C0" w:rsidRPr="003910C0">
          <w:rPr>
            <w:rStyle w:val="Hyperlink"/>
            <w:rFonts w:hint="cs"/>
            <w:sz w:val="22"/>
            <w:szCs w:val="22"/>
            <w:rtl/>
          </w:rPr>
          <w:t>קישור</w:t>
        </w:r>
      </w:hyperlink>
      <w:r w:rsidR="003910C0" w:rsidRPr="003910C0">
        <w:rPr>
          <w:rFonts w:hint="cs"/>
          <w:sz w:val="22"/>
          <w:szCs w:val="22"/>
          <w:rtl/>
        </w:rPr>
        <w:t>)</w:t>
      </w:r>
    </w:p>
    <w:p w14:paraId="1259714A" w14:textId="39371712" w:rsidR="00325FDE" w:rsidRDefault="00325FDE" w:rsidP="00325FDE">
      <w:pPr>
        <w:pStyle w:val="Heading1"/>
        <w:rPr>
          <w:rtl/>
        </w:rPr>
      </w:pPr>
      <w:r>
        <w:rPr>
          <w:rFonts w:hint="cs"/>
          <w:rtl/>
        </w:rPr>
        <w:t>חסידי אשכנז</w:t>
      </w:r>
    </w:p>
    <w:p w14:paraId="117CEF06" w14:textId="78AF1FCE" w:rsidR="001433B3" w:rsidRDefault="001433B3" w:rsidP="001433B3">
      <w:pPr>
        <w:pStyle w:val="Heading2"/>
        <w:rPr>
          <w:rtl/>
        </w:rPr>
      </w:pPr>
      <w:r>
        <w:rPr>
          <w:rFonts w:hint="cs"/>
          <w:rtl/>
        </w:rPr>
        <w:t>שו"ת משכנות יעקב חלק א סימן קכא</w:t>
      </w:r>
    </w:p>
    <w:p w14:paraId="71640A49" w14:textId="7CD548B0" w:rsidR="001433B3" w:rsidRDefault="001433B3" w:rsidP="001433B3">
      <w:pPr>
        <w:rPr>
          <w:rtl/>
        </w:rPr>
      </w:pPr>
      <w:r>
        <w:rPr>
          <w:noProof/>
        </w:rPr>
        <w:drawing>
          <wp:inline distT="0" distB="0" distL="0" distR="0" wp14:anchorId="78CEB0E4" wp14:editId="56C274A2">
            <wp:extent cx="707613" cy="10844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8988" cy="1101927"/>
                    </a:xfrm>
                    <a:prstGeom prst="rect">
                      <a:avLst/>
                    </a:prstGeom>
                  </pic:spPr>
                </pic:pic>
              </a:graphicData>
            </a:graphic>
          </wp:inline>
        </w:drawing>
      </w:r>
    </w:p>
    <w:p w14:paraId="1D5278B1" w14:textId="4FE0E7FD" w:rsidR="00090A22" w:rsidRPr="001433B3" w:rsidRDefault="00090A22" w:rsidP="00090A22">
      <w:pPr>
        <w:pStyle w:val="Heading2"/>
      </w:pPr>
      <w:r>
        <w:rPr>
          <w:rFonts w:hint="cs"/>
          <w:rtl/>
        </w:rPr>
        <w:t>נפש הרב עמ' כ</w:t>
      </w:r>
    </w:p>
    <w:p w14:paraId="5F79DA25" w14:textId="5B4BA470" w:rsidR="00325FDE" w:rsidRDefault="00325FDE" w:rsidP="001433B3">
      <w:pPr>
        <w:pStyle w:val="Heading2"/>
        <w:rPr>
          <w:rtl/>
        </w:rPr>
      </w:pPr>
      <w:hyperlink r:id="rId10" w:history="1">
        <w:r w:rsidRPr="00325FDE">
          <w:rPr>
            <w:rStyle w:val="Hyperlink"/>
          </w:rPr>
          <w:t>R’ Ephraim Kanarfogel: Peering Through the Lattices: Mystical, Magical, and Pietistic Dimensions in the Tosafist Period</w:t>
        </w:r>
      </w:hyperlink>
    </w:p>
    <w:p w14:paraId="7FF03433" w14:textId="5BC22943" w:rsidR="00676BD2" w:rsidRDefault="00676BD2" w:rsidP="00676BD2">
      <w:pPr>
        <w:pStyle w:val="Heading1"/>
        <w:rPr>
          <w:rtl/>
        </w:rPr>
      </w:pPr>
      <w:r>
        <w:rPr>
          <w:rFonts w:hint="cs"/>
          <w:rtl/>
        </w:rPr>
        <w:t>שהחיינו בליל ראש השנה</w:t>
      </w:r>
    </w:p>
    <w:p w14:paraId="42B5CE93" w14:textId="4A32948F" w:rsidR="00676BD2" w:rsidRDefault="00676BD2" w:rsidP="00676BD2">
      <w:pPr>
        <w:pStyle w:val="Heading2"/>
        <w:rPr>
          <w:rtl/>
        </w:rPr>
      </w:pPr>
      <w:r>
        <w:rPr>
          <w:rFonts w:hint="cs"/>
          <w:rtl/>
        </w:rPr>
        <w:t>רא"ש ראש השנה ג:יד</w:t>
      </w:r>
    </w:p>
    <w:p w14:paraId="117A050C" w14:textId="513C25D2" w:rsidR="00676BD2" w:rsidRPr="00676BD2" w:rsidRDefault="00676BD2" w:rsidP="00A652AC">
      <w:r w:rsidRPr="00676BD2">
        <w:rPr>
          <w:rtl/>
        </w:rPr>
        <w:t xml:space="preserve">ולענין זמן בליל שני כתב רש"י בתשובה רבותינו אמרו שאין אומרים אלא ביום ראשון לפי שהן קדושה אחת וכיומא אריכתא דמי מה שאין כן בשני ימים טובים של גליות שהן משום ספק ושתי קדושות הם ואומר זמן בשניהם. אבל אני אומר שצ"ל בו זמן וכן נוהגין במקומינו ובכל המקומות שעברתי ואין חילוק בין י"ט של ר"ה לשאר ימים טובים של גליות אלא לענין ביצה ומחובר אסור את של זה בזה וטעמא משום דאף בזמן ב"ד פעמים שהיו עושין שניהם יום טוב אע"פ שלא היה שם ספק דיום שני היה עיקר יום טוב והיו גומרים יום ראשון בקדושה כדי שלא יזלזלו לשנה הבאה אבל לענין זמן ממה נפשך אי ספיקא הוא אומר ואי אמנהגא דב"ד סמכינן שהיום נוהגים קודש ולמחר קודש אומר זמן(ע) דהא מיום שני היו מונין תיקון המועדות והוא עיקר ר"ה וצ"ל בו זמן וכן הלכה ע"כ. וכן כתב רשב"ם בשם רש"י זקנו וכן מסתבר טעמא הלכך י"ל זמן גם ביום שני. והגאונים כתבו שאין לומר זמן בשני לא בקדוש ולא בשופר. וכן כתב רבינו יצחק בר יהודה. ובעל העיטור כתב כרש"י. וכן השיב רבינו משולם בר קלונימוס ז"ל. וטוב שיקח אדם פרי חדש ויניחנו לפניו ויברך שהחיינו ויהיה דעתו על הפרי ויצא ידי ספק וכן היה אומר רבינו מאיר ז"ל. </w:t>
      </w:r>
    </w:p>
    <w:sectPr w:rsidR="00676BD2" w:rsidRPr="00676B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2022" w14:textId="77777777" w:rsidR="00DA6AA7" w:rsidRDefault="00DA6AA7" w:rsidP="009F4441">
      <w:pPr>
        <w:spacing w:after="0" w:line="240" w:lineRule="auto"/>
      </w:pPr>
      <w:r>
        <w:separator/>
      </w:r>
    </w:p>
  </w:endnote>
  <w:endnote w:type="continuationSeparator" w:id="0">
    <w:p w14:paraId="322790A5" w14:textId="77777777" w:rsidR="00DA6AA7" w:rsidRDefault="00DA6AA7"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F9D2"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15CF" w14:textId="77777777" w:rsidR="00DA6AA7" w:rsidRDefault="00DA6AA7" w:rsidP="009F4441">
      <w:pPr>
        <w:spacing w:after="0" w:line="240" w:lineRule="auto"/>
      </w:pPr>
      <w:r>
        <w:separator/>
      </w:r>
    </w:p>
  </w:footnote>
  <w:footnote w:type="continuationSeparator" w:id="0">
    <w:p w14:paraId="73F8D774" w14:textId="77777777" w:rsidR="00DA6AA7" w:rsidRDefault="00DA6AA7" w:rsidP="009F4441">
      <w:pPr>
        <w:spacing w:after="0" w:line="240" w:lineRule="auto"/>
      </w:pPr>
      <w:r>
        <w:continuationSeparator/>
      </w:r>
    </w:p>
  </w:footnote>
  <w:footnote w:id="1">
    <w:p w14:paraId="604DEC9F" w14:textId="45EA7F00" w:rsidR="00E90E91" w:rsidRDefault="00E90E91" w:rsidP="00E90E91">
      <w:pPr>
        <w:pStyle w:val="FootnoteText"/>
        <w:rPr>
          <w:rFonts w:hint="cs"/>
        </w:rPr>
      </w:pPr>
      <w:r>
        <w:rPr>
          <w:rStyle w:val="FootnoteReference"/>
        </w:rPr>
        <w:footnoteRef/>
      </w:r>
      <w:r>
        <w:rPr>
          <w:rtl/>
        </w:rPr>
        <w:t xml:space="preserve"> </w:t>
      </w:r>
      <w:r>
        <w:rPr>
          <w:rFonts w:hint="cs"/>
          <w:rtl/>
        </w:rPr>
        <w:t xml:space="preserve">ע"ע באתר </w:t>
      </w:r>
      <w:hyperlink r:id="rId1" w:history="1">
        <w:r w:rsidRPr="00E90E91">
          <w:rPr>
            <w:rStyle w:val="Hyperlink"/>
            <w:rFonts w:hint="cs"/>
            <w:rtl/>
          </w:rPr>
          <w:t>אור שמח</w:t>
        </w:r>
      </w:hyperlink>
      <w:r>
        <w:rPr>
          <w:rFonts w:hint="cs"/>
          <w:rtl/>
        </w:rPr>
        <w:t xml:space="preserve"> ו</w:t>
      </w:r>
      <w:hyperlink r:id="rId2" w:history="1">
        <w:r w:rsidRPr="00E90E91">
          <w:rPr>
            <w:rStyle w:val="Hyperlink"/>
            <w:rFonts w:hint="cs"/>
            <w:rtl/>
          </w:rPr>
          <w:t>קול תורה</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0E86" w14:textId="510561E9" w:rsidR="009F4441" w:rsidRPr="009F4441" w:rsidRDefault="009F4441" w:rsidP="00DA6AA7">
    <w:pPr>
      <w:jc w:val="center"/>
    </w:pPr>
    <w:r w:rsidRPr="00C52284">
      <w:rPr>
        <w:rtl/>
      </w:rPr>
      <w:t>הרב צבי שכטר</w:t>
    </w:r>
    <w:r w:rsidRPr="00C52284">
      <w:tab/>
    </w:r>
    <w:r w:rsidRPr="00C52284">
      <w:rPr>
        <w:rtl/>
      </w:rPr>
      <w:tab/>
    </w:r>
    <w:r w:rsidRPr="00C52284">
      <w:tab/>
    </w:r>
    <w:r w:rsidR="00DA6AA7">
      <w:rPr>
        <w:rtl/>
      </w:rPr>
      <w:tab/>
    </w:r>
    <w:r w:rsidR="00F019D1">
      <w:rPr>
        <w:rtl/>
      </w:rPr>
      <w:t xml:space="preserve">   ‏‏‏כ"</w:t>
    </w:r>
    <w:r w:rsidR="00F019D1">
      <w:rPr>
        <w:rFonts w:hint="cs"/>
        <w:rtl/>
      </w:rPr>
      <w:t>ו</w:t>
    </w:r>
    <w:r w:rsidR="00DA6AA7" w:rsidRPr="00DA6AA7">
      <w:rPr>
        <w:rtl/>
      </w:rPr>
      <w:t xml:space="preserve"> אלול תשע"ו</w:t>
    </w:r>
    <w:r w:rsidR="00C47AA7">
      <w:rPr>
        <w:rtl/>
      </w:rPr>
      <w:tab/>
    </w:r>
    <w:r>
      <w:rPr>
        <w:rtl/>
      </w:rPr>
      <w:tab/>
    </w:r>
    <w:r w:rsidR="00DA6AA7">
      <w:rPr>
        <w:rtl/>
      </w:rPr>
      <w:tab/>
    </w:r>
    <w:r w:rsidR="00DA6AA7">
      <w:rPr>
        <w:rtl/>
      </w:rPr>
      <w:tab/>
    </w:r>
    <w:r w:rsidRPr="00C52284">
      <w:rPr>
        <w:rtl/>
      </w:rPr>
      <w:t xml:space="preserve"> </w:t>
    </w:r>
    <w:r w:rsidR="00DA6AA7">
      <w:rPr>
        <w:rFonts w:hint="cs"/>
        <w:rtl/>
      </w:rPr>
      <w:t>מועדים וזמנים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A7"/>
    <w:rsid w:val="00090A22"/>
    <w:rsid w:val="000C25FD"/>
    <w:rsid w:val="001179C9"/>
    <w:rsid w:val="001433B3"/>
    <w:rsid w:val="001A3E2F"/>
    <w:rsid w:val="00221887"/>
    <w:rsid w:val="002D7162"/>
    <w:rsid w:val="00325FDE"/>
    <w:rsid w:val="00382211"/>
    <w:rsid w:val="003910C0"/>
    <w:rsid w:val="003F2A09"/>
    <w:rsid w:val="00532917"/>
    <w:rsid w:val="005772E2"/>
    <w:rsid w:val="005B4257"/>
    <w:rsid w:val="00676BD2"/>
    <w:rsid w:val="007520FC"/>
    <w:rsid w:val="00767769"/>
    <w:rsid w:val="007F180C"/>
    <w:rsid w:val="00816E28"/>
    <w:rsid w:val="00834295"/>
    <w:rsid w:val="00891502"/>
    <w:rsid w:val="00907DAD"/>
    <w:rsid w:val="009F4441"/>
    <w:rsid w:val="00A652AC"/>
    <w:rsid w:val="00AF5D18"/>
    <w:rsid w:val="00B041B9"/>
    <w:rsid w:val="00BD3C8D"/>
    <w:rsid w:val="00C47AA7"/>
    <w:rsid w:val="00C53B57"/>
    <w:rsid w:val="00C6509B"/>
    <w:rsid w:val="00CD01D7"/>
    <w:rsid w:val="00D74C16"/>
    <w:rsid w:val="00DA6AA7"/>
    <w:rsid w:val="00E90E91"/>
    <w:rsid w:val="00F00C82"/>
    <w:rsid w:val="00F019D1"/>
    <w:rsid w:val="00F656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188C"/>
  <w15:chartTrackingRefBased/>
  <w15:docId w15:val="{CD808790-6F2D-4FFA-AF46-CB6AD2B7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72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5772E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F5D18"/>
    <w:rPr>
      <w:color w:val="0563C1" w:themeColor="hyperlink"/>
      <w:u w:val="single"/>
    </w:rPr>
  </w:style>
  <w:style w:type="character" w:styleId="FollowedHyperlink">
    <w:name w:val="FollowedHyperlink"/>
    <w:basedOn w:val="DefaultParagraphFont"/>
    <w:uiPriority w:val="99"/>
    <w:semiHidden/>
    <w:unhideWhenUsed/>
    <w:rsid w:val="001179C9"/>
    <w:rPr>
      <w:color w:val="954F72" w:themeColor="followedHyperlink"/>
      <w:u w:val="single"/>
    </w:rPr>
  </w:style>
  <w:style w:type="paragraph" w:styleId="FootnoteText">
    <w:name w:val="footnote text"/>
    <w:basedOn w:val="Normal"/>
    <w:link w:val="FootnoteTextChar"/>
    <w:uiPriority w:val="99"/>
    <w:semiHidden/>
    <w:unhideWhenUsed/>
    <w:rsid w:val="00E90E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E91"/>
    <w:rPr>
      <w:rFonts w:ascii="Narkisim" w:hAnsi="Narkisim" w:cs="Narkisim"/>
      <w:sz w:val="20"/>
      <w:szCs w:val="20"/>
    </w:rPr>
  </w:style>
  <w:style w:type="character" w:styleId="FootnoteReference">
    <w:name w:val="footnote reference"/>
    <w:basedOn w:val="DefaultParagraphFont"/>
    <w:uiPriority w:val="99"/>
    <w:semiHidden/>
    <w:unhideWhenUsed/>
    <w:rsid w:val="00E90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5342">
      <w:bodyDiv w:val="1"/>
      <w:marLeft w:val="0"/>
      <w:marRight w:val="0"/>
      <w:marTop w:val="0"/>
      <w:marBottom w:val="0"/>
      <w:divBdr>
        <w:top w:val="none" w:sz="0" w:space="0" w:color="auto"/>
        <w:left w:val="none" w:sz="0" w:space="0" w:color="auto"/>
        <w:bottom w:val="none" w:sz="0" w:space="0" w:color="auto"/>
        <w:right w:val="none" w:sz="0" w:space="0" w:color="auto"/>
      </w:divBdr>
    </w:div>
    <w:div w:id="1266424815">
      <w:bodyDiv w:val="1"/>
      <w:marLeft w:val="0"/>
      <w:marRight w:val="0"/>
      <w:marTop w:val="0"/>
      <w:marBottom w:val="0"/>
      <w:divBdr>
        <w:top w:val="none" w:sz="0" w:space="0" w:color="auto"/>
        <w:left w:val="none" w:sz="0" w:space="0" w:color="auto"/>
        <w:bottom w:val="none" w:sz="0" w:space="0" w:color="auto"/>
        <w:right w:val="none" w:sz="0" w:space="0" w:color="auto"/>
      </w:divBdr>
      <w:divsChild>
        <w:div w:id="65037725">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858&amp;pgnum=1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brewbooks.org/pdfpager.aspx?req=1095&amp;pgnum=18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ooks.google.com/books?id=anAUUroT4N4C"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oltorah.org/ravj/eatingbeforeshofar.htm" TargetMode="External"/><Relationship Id="rId1" Type="http://schemas.openxmlformats.org/officeDocument/2006/relationships/hyperlink" Target="http://ohr.edu/this_week/insights_into_halacha/6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33</cp:revision>
  <dcterms:created xsi:type="dcterms:W3CDTF">2016-09-28T17:04:00Z</dcterms:created>
  <dcterms:modified xsi:type="dcterms:W3CDTF">2016-09-29T16:19:00Z</dcterms:modified>
</cp:coreProperties>
</file>