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422D6"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0BF96ECC" w14:textId="03A9DDF1" w:rsidR="009F4441" w:rsidRDefault="0035530E" w:rsidP="009F4441">
      <w:pPr>
        <w:pStyle w:val="Subtitle"/>
        <w:rPr>
          <w:rtl/>
        </w:rPr>
      </w:pPr>
      <w:r>
        <w:rPr>
          <w:rFonts w:hint="cs"/>
          <w:rtl/>
        </w:rPr>
        <w:t>לשון המדינה, גופא</w:t>
      </w:r>
      <w:r w:rsidR="00494D0E">
        <w:rPr>
          <w:rtl/>
        </w:rPr>
        <w:br/>
      </w:r>
      <w:r w:rsidR="00494D0E">
        <w:rPr>
          <w:rFonts w:hint="cs"/>
          <w:rtl/>
        </w:rPr>
        <w:t>טיב גיטין וקידושין</w:t>
      </w:r>
      <w:bookmarkStart w:id="0" w:name="_GoBack"/>
      <w:bookmarkEnd w:id="0"/>
    </w:p>
    <w:p w14:paraId="2A71B8ED" w14:textId="71288CB8" w:rsidR="009F4441" w:rsidRDefault="00B85607" w:rsidP="00B85607">
      <w:pPr>
        <w:pStyle w:val="Heading1"/>
        <w:rPr>
          <w:rtl/>
        </w:rPr>
      </w:pPr>
      <w:r>
        <w:rPr>
          <w:rFonts w:hint="cs"/>
          <w:rtl/>
        </w:rPr>
        <w:t>לשון המדינה</w:t>
      </w:r>
    </w:p>
    <w:p w14:paraId="6E54C9FB" w14:textId="34422C71" w:rsidR="00B85607" w:rsidRDefault="00B85607" w:rsidP="00B85607">
      <w:pPr>
        <w:pStyle w:val="Heading2"/>
        <w:rPr>
          <w:rtl/>
        </w:rPr>
      </w:pPr>
      <w:r>
        <w:rPr>
          <w:rFonts w:hint="cs"/>
          <w:rtl/>
        </w:rPr>
        <w:t>קידושין ו.</w:t>
      </w:r>
    </w:p>
    <w:p w14:paraId="69AFBD3F" w14:textId="323BBB5F" w:rsidR="00B85607" w:rsidRDefault="00B85607" w:rsidP="00A377A8">
      <w:pPr>
        <w:pStyle w:val="Heading2"/>
        <w:rPr>
          <w:rtl/>
        </w:rPr>
      </w:pPr>
      <w:r>
        <w:rPr>
          <w:rFonts w:hint="cs"/>
          <w:rtl/>
        </w:rPr>
        <w:t>ביאור הלכה סב:ב</w:t>
      </w:r>
    </w:p>
    <w:p w14:paraId="388FF29F" w14:textId="7CF33980" w:rsidR="00B85607" w:rsidRPr="00B85607" w:rsidRDefault="00B85607" w:rsidP="00381372">
      <w:r w:rsidRPr="00B85607">
        <w:rPr>
          <w:rtl/>
        </w:rPr>
        <w:t>יכול לקרותה בכל לשון - עיין במ"ב במה שכתב</w:t>
      </w:r>
      <w:r w:rsidR="00381372">
        <w:rPr>
          <w:rtl/>
        </w:rPr>
        <w:t xml:space="preserve"> וה"ה בתפלה ובהמ"ז וקידוש וכו'</w:t>
      </w:r>
      <w:r w:rsidR="00381372">
        <w:rPr>
          <w:rFonts w:hint="cs"/>
          <w:rtl/>
        </w:rPr>
        <w:t>...</w:t>
      </w:r>
      <w:r w:rsidRPr="00B85607">
        <w:rPr>
          <w:rtl/>
        </w:rPr>
        <w:t xml:space="preserve"> ודע עוד דנ"ל בפשיטות דאותן דברים הנאמרין בכל לשון הוא דוקא אם אנשי אותו המדינה מדברין כך אבל אם אנשי המדינה אינם יכולין לדבר זה הלשון ורק הוא ועוד איזה אנשים יחידים יודעים זה הלשון זה לא נחשב לשון כלל למדינה זו שאינה מכרת בזו הלשון דבשלמא לשה"ק הוא לשון מצד העצם משא"כ שאר לשון איננו כ"א מצד הסכם המדינה וכיון שאין אנשי המדינה זו מכירין בלשון זה לא נקרא לשון כלל וראיה לדברי מקידושין ו' ע"א האומר חרופתי ביהודא מקודשת שכן ביהודא קורין לארוסה חרופה אבל בשארי מקומות אינה מקודשת אף ששניהם כיונו לשם קידושין וקדושין הוא בכל לשון אעפ"כ כיון דאין לשון זה לשון קידושין באותו מקום הוי כאלו נתן כסף ולא אמר כלל דאינה מקודשת וכן כתב הרא"ש ושו"ע דבעינן שיאמר לשון קידושין שבאותו מקום [לבד דעת הרמב"ם דמחמיר בחרופתי] וכעין זה מצאתי כתוב ג"כ בריטב"א על האלפס של נדרים רפ"ק דבכל לשון היינו הלשון שמדברים באותו מקום. ולפ"ז תדע לנכון דמה שכתבנו במ"ב דצריך ג"כ שיבין בזה הלשון היינו דאינו מועיל מה שאנשי המדינה מדברים בזה הלשון והתוספות שמקילין בקידוש וברכת המצות וכו' הוא דוקא באופן זה. (אמנם עיינתי בסי' תר"צ ס"ט דלכאורה לא משמע כדברינו ואולי דבמגילה הקילו משום פרסום הנס אולם בר"ן שם בהאי ענינא לא משמע כחילוקנו וצ"ע למעשה):</w:t>
      </w:r>
    </w:p>
    <w:p w14:paraId="215E1B6A" w14:textId="7A394FE5" w:rsidR="007D01E3" w:rsidRDefault="007D01E3" w:rsidP="00586F98">
      <w:pPr>
        <w:pStyle w:val="Heading2"/>
        <w:rPr>
          <w:rtl/>
        </w:rPr>
      </w:pPr>
      <w:r>
        <w:rPr>
          <w:rFonts w:hint="cs"/>
          <w:rtl/>
        </w:rPr>
        <w:t xml:space="preserve">ספר הזכרון למרן בעל ה"פחד יצחק" עמ' רט </w:t>
      </w:r>
      <w:r w:rsidRPr="00FA3731">
        <w:rPr>
          <w:rFonts w:hint="cs"/>
          <w:sz w:val="22"/>
          <w:szCs w:val="22"/>
          <w:rtl/>
        </w:rPr>
        <w:t>(</w:t>
      </w:r>
      <w:hyperlink r:id="rId6" w:history="1">
        <w:r w:rsidRPr="00FA3731">
          <w:rPr>
            <w:rStyle w:val="Hyperlink"/>
            <w:rFonts w:hint="cs"/>
            <w:sz w:val="22"/>
            <w:szCs w:val="22"/>
            <w:rtl/>
          </w:rPr>
          <w:t>קישור</w:t>
        </w:r>
      </w:hyperlink>
      <w:r w:rsidRPr="00FA3731">
        <w:rPr>
          <w:rFonts w:hint="cs"/>
          <w:sz w:val="22"/>
          <w:szCs w:val="22"/>
          <w:rtl/>
        </w:rPr>
        <w:t>)</w:t>
      </w:r>
      <w:r w:rsidR="005B78AD">
        <w:rPr>
          <w:rStyle w:val="FootnoteReference"/>
          <w:rtl/>
        </w:rPr>
        <w:footnoteReference w:id="1"/>
      </w:r>
    </w:p>
    <w:p w14:paraId="03BAFA82" w14:textId="7BB6BCD0" w:rsidR="001C2D16" w:rsidRPr="001C2D16" w:rsidRDefault="001C2D16" w:rsidP="001C2D16">
      <w:pPr>
        <w:rPr>
          <w:rtl/>
        </w:rPr>
      </w:pPr>
      <w:r>
        <w:rPr>
          <w:noProof/>
        </w:rPr>
        <w:drawing>
          <wp:inline distT="0" distB="0" distL="0" distR="0" wp14:anchorId="2C767F56" wp14:editId="54BC9CFC">
            <wp:extent cx="1785880" cy="2054939"/>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92347" cy="2062380"/>
                    </a:xfrm>
                    <a:prstGeom prst="rect">
                      <a:avLst/>
                    </a:prstGeom>
                  </pic:spPr>
                </pic:pic>
              </a:graphicData>
            </a:graphic>
          </wp:inline>
        </w:drawing>
      </w:r>
    </w:p>
    <w:p w14:paraId="08632C3E" w14:textId="77777777" w:rsidR="00712E5E" w:rsidRPr="00B95DEB" w:rsidRDefault="00712E5E" w:rsidP="00712E5E">
      <w:pPr>
        <w:pStyle w:val="Heading1"/>
        <w:rPr>
          <w:rtl/>
        </w:rPr>
      </w:pPr>
      <w:bookmarkStart w:id="1" w:name="_Toc459557122"/>
      <w:r>
        <w:rPr>
          <w:rFonts w:hint="cs"/>
          <w:rtl/>
        </w:rPr>
        <w:t>גופא, אמר מר</w:t>
      </w:r>
      <w:bookmarkEnd w:id="1"/>
    </w:p>
    <w:p w14:paraId="64BD71C8" w14:textId="7B3F9405" w:rsidR="00021AF0" w:rsidRDefault="00D2305D" w:rsidP="00021AF0">
      <w:pPr>
        <w:pStyle w:val="Heading2"/>
        <w:rPr>
          <w:rtl/>
        </w:rPr>
      </w:pPr>
      <w:r>
        <w:rPr>
          <w:rFonts w:hint="cs"/>
          <w:rtl/>
        </w:rPr>
        <w:t>רש"י סוכה</w:t>
      </w:r>
      <w:r w:rsidR="00021AF0">
        <w:rPr>
          <w:rFonts w:hint="cs"/>
          <w:rtl/>
        </w:rPr>
        <w:t xml:space="preserve"> יד. ד"ה </w:t>
      </w:r>
      <w:r w:rsidR="00021AF0" w:rsidRPr="00021AF0">
        <w:rPr>
          <w:rtl/>
        </w:rPr>
        <w:t>משום הכי מטמא ר' יוסי</w:t>
      </w:r>
    </w:p>
    <w:p w14:paraId="5DD5B3D4" w14:textId="486EFBC4" w:rsidR="00021AF0" w:rsidRPr="00021AF0" w:rsidRDefault="00021AF0" w:rsidP="00021AF0">
      <w:pPr>
        <w:rPr>
          <w:rtl/>
        </w:rPr>
      </w:pPr>
      <w:r w:rsidRPr="00021AF0">
        <w:rPr>
          <w:rtl/>
        </w:rPr>
        <w:t>דקסבר מעשה זוטא לא בטלה תורת ידות מינייהו, שאלתי את מורי: מגופה דמשנה דמייתי אגב גררא בשמעתין, מי שייך למיתני גופא כדגרסינן במימרות האמוראים ואמר לי רבי: משום דהך משנה מן הטהרות, שאין מהם שום גמרא בעולם, ולא מפורשת כשאר המשניות - לפיכך נוהג התלמוד לומר גופא כדי לפרש.</w:t>
      </w:r>
    </w:p>
    <w:p w14:paraId="5FA501B7" w14:textId="0F94F562" w:rsidR="00712E5E" w:rsidRPr="00AC4C95" w:rsidRDefault="00712E5E" w:rsidP="00712E5E">
      <w:pPr>
        <w:pStyle w:val="Heading2"/>
        <w:rPr>
          <w:rtl/>
        </w:rPr>
      </w:pPr>
      <w:r w:rsidRPr="00AC4C95">
        <w:rPr>
          <w:rtl/>
        </w:rPr>
        <w:lastRenderedPageBreak/>
        <w:t>יד מלאכי כללי התלמוד כלל עג</w:t>
      </w:r>
      <w:r w:rsidRPr="00AC4C95">
        <w:rPr>
          <w:color w:val="auto"/>
          <w:sz w:val="22"/>
          <w:szCs w:val="22"/>
          <w:rtl/>
        </w:rPr>
        <w:t xml:space="preserve">   </w:t>
      </w:r>
    </w:p>
    <w:p w14:paraId="583FB65A" w14:textId="77777777" w:rsidR="00712E5E" w:rsidRPr="00AC4C95" w:rsidRDefault="00712E5E" w:rsidP="00712E5E">
      <w:pPr>
        <w:rPr>
          <w:rtl/>
        </w:rPr>
      </w:pPr>
      <w:r w:rsidRPr="00AC4C95">
        <w:rPr>
          <w:rtl/>
        </w:rPr>
        <w:t>אמר מר, מצינו על דברי אמורא, ע"ז ריש פרק ר' ישמעאל [דף] נ' א' ואפשר לדחות דמשום דהא רבי יוחנן קאמר עליה אמר מר משום דר' יוחנן תנא הוא מיהו מוהרי"ק ז"ל מצא על דברי רב הונא והוא חידוש שלא מצינו ברב הונא שיאמרו עליו תנא הוא כמ"ש על רב ור' יוחנן כ"כ מוהר"ש אלגאזי ז"ל בספר הליכות אלי כלל פ"ג.</w:t>
      </w:r>
    </w:p>
    <w:p w14:paraId="1F43719D" w14:textId="77777777" w:rsidR="00712E5E" w:rsidRDefault="00712E5E" w:rsidP="00712E5E">
      <w:pPr>
        <w:rPr>
          <w:rtl/>
        </w:rPr>
      </w:pPr>
      <w:r w:rsidRPr="00AC4C95">
        <w:rPr>
          <w:rtl/>
        </w:rPr>
        <w:t xml:space="preserve">  ואני המך מצאתי עוד בפרק קמא דר"ה [דף] כ' ב' דקאמר אמר מר על מימרא דר' זירא וכן בסוף פ"ק דיומא [דף] כ"א סוף ע"ב קאמר הכי על מימרא דרב יצחק בר אבדימי גם בפרק כסוי הדם [דף] פ"ה ב' קאמר אמר מר על מימרא דר' אבא ע"ש, עיין בתחלת אות הריש שהוכחתי בראיות נכונות נגד מה שכתב כאן פעם ושתים דר' יוחנן תנא הוא ופליג דליתא מלבד שהפך מזה כתב איהו גופיה ביבין שמועה דף ח"י ב' ע"ש:    </w:t>
      </w:r>
    </w:p>
    <w:p w14:paraId="0CAD5B3E" w14:textId="77777777" w:rsidR="00152BD4" w:rsidRPr="0051751A" w:rsidRDefault="00152BD4" w:rsidP="00152BD4">
      <w:pPr>
        <w:pStyle w:val="Heading1"/>
        <w:rPr>
          <w:rtl/>
        </w:rPr>
      </w:pPr>
      <w:bookmarkStart w:id="2" w:name="_Toc459557273"/>
      <w:bookmarkStart w:id="3" w:name="_Ref460325744"/>
      <w:r w:rsidRPr="0051751A">
        <w:rPr>
          <w:rFonts w:hint="cs"/>
          <w:rtl/>
        </w:rPr>
        <w:t xml:space="preserve">טיב גיטין וקידושין </w:t>
      </w:r>
      <w:r w:rsidRPr="0051751A">
        <w:rPr>
          <w:rtl/>
        </w:rPr>
        <w:t>–</w:t>
      </w:r>
      <w:r w:rsidRPr="0051751A">
        <w:rPr>
          <w:rFonts w:hint="cs"/>
          <w:rtl/>
        </w:rPr>
        <w:t xml:space="preserve"> מסירת גט וכתיבת פטור בלילה</w:t>
      </w:r>
      <w:bookmarkEnd w:id="2"/>
      <w:bookmarkEnd w:id="3"/>
    </w:p>
    <w:p w14:paraId="71922217" w14:textId="77777777" w:rsidR="00152BD4" w:rsidRPr="0051751A" w:rsidRDefault="00152BD4" w:rsidP="00152BD4">
      <w:pPr>
        <w:pStyle w:val="Heading2"/>
        <w:rPr>
          <w:shd w:val="clear" w:color="auto" w:fill="FFFFFF"/>
          <w:rtl/>
        </w:rPr>
      </w:pPr>
      <w:r w:rsidRPr="0051751A">
        <w:rPr>
          <w:rFonts w:hint="cs"/>
          <w:shd w:val="clear" w:color="auto" w:fill="FFFFFF"/>
          <w:rtl/>
        </w:rPr>
        <w:t>קידושין ו.</w:t>
      </w:r>
    </w:p>
    <w:p w14:paraId="0E32B645" w14:textId="77777777" w:rsidR="00152BD4" w:rsidRDefault="00152BD4" w:rsidP="00152BD4">
      <w:r w:rsidRPr="0051751A">
        <w:rPr>
          <w:rtl/>
        </w:rPr>
        <w:t>דאמר רב יהודה אמר שמואל: כל שאינו יודע בטיב גיטין וקידושין לא יהא לו עסק עמהם</w:t>
      </w:r>
    </w:p>
    <w:p w14:paraId="4A873222" w14:textId="77777777" w:rsidR="00152BD4" w:rsidRDefault="00152BD4" w:rsidP="00152BD4">
      <w:pPr>
        <w:pStyle w:val="Heading2"/>
        <w:rPr>
          <w:rtl/>
        </w:rPr>
      </w:pPr>
      <w:r>
        <w:rPr>
          <w:rFonts w:hint="cs"/>
          <w:rtl/>
        </w:rPr>
        <w:t xml:space="preserve">רש"י שם ד"ה </w:t>
      </w:r>
      <w:r>
        <w:rPr>
          <w:rtl/>
        </w:rPr>
        <w:t>לא יהא לו עסק עמהן</w:t>
      </w:r>
    </w:p>
    <w:p w14:paraId="3F9B1D9D" w14:textId="77777777" w:rsidR="00152BD4" w:rsidRPr="008D2CB4" w:rsidRDefault="00152BD4" w:rsidP="00152BD4">
      <w:pPr>
        <w:rPr>
          <w:rtl/>
        </w:rPr>
      </w:pPr>
      <w:r>
        <w:rPr>
          <w:rtl/>
        </w:rPr>
        <w:t>להיות דיין בדבר שמא יתיר איסור ערוה וזהו עיוות שאינו יכול לתקן.</w:t>
      </w:r>
    </w:p>
    <w:p w14:paraId="3CCBF304" w14:textId="77777777" w:rsidR="00152BD4" w:rsidRDefault="00152BD4" w:rsidP="00152BD4">
      <w:pPr>
        <w:pStyle w:val="Heading2"/>
        <w:rPr>
          <w:rtl/>
        </w:rPr>
      </w:pPr>
      <w:r>
        <w:rPr>
          <w:rFonts w:hint="cs"/>
          <w:rtl/>
        </w:rPr>
        <w:t xml:space="preserve">תוספות שם ד"ה </w:t>
      </w:r>
      <w:r w:rsidRPr="008D2CB4">
        <w:rPr>
          <w:rtl/>
        </w:rPr>
        <w:t>לא יהא לו עסק עמהן</w:t>
      </w:r>
    </w:p>
    <w:p w14:paraId="7736B844" w14:textId="77777777" w:rsidR="00152BD4" w:rsidRPr="008D2CB4" w:rsidRDefault="00152BD4" w:rsidP="00152BD4">
      <w:pPr>
        <w:rPr>
          <w:rtl/>
        </w:rPr>
      </w:pPr>
      <w:r w:rsidRPr="008D2CB4">
        <w:rPr>
          <w:rtl/>
        </w:rPr>
        <w:t>פי' בקונטרס לא יהא דיין בדבר שמא יתיר איסור ערוה וזהו עיוות שאינו יכול לתקן והר"ר עזריאל פי' שלא ידבר עם הנשים על עסקי קידושין לקדשם שפעמים שתהא מקודשת באמירתם או בנתינתם ולא יבין וקשה תינח בקידושין בגירושין מה בכך אם יסבור שאינה [מגורשת] ושמא איכא למיחש לכהן מיהו לישנא דעמהן לא משמע הכי דאין אדם יכול ליתן גט אלא לאשתו ועוד דלקמן בפרקין (דף יג.) משמע שיש חשש איסור אשת איש דאמר וקשין לעולם מדור המבול ומיהו יש לומר דאיכא למיחש אם פשטה ידה וקבלה קידושין מאחר.</w:t>
      </w:r>
    </w:p>
    <w:p w14:paraId="0948046A" w14:textId="77777777" w:rsidR="00152BD4" w:rsidRPr="0051751A" w:rsidRDefault="00152BD4" w:rsidP="00152BD4">
      <w:pPr>
        <w:pStyle w:val="Heading2"/>
        <w:rPr>
          <w:shd w:val="clear" w:color="auto" w:fill="FFFFFF"/>
          <w:rtl/>
        </w:rPr>
      </w:pPr>
      <w:r w:rsidRPr="0051751A">
        <w:rPr>
          <w:rFonts w:hint="cs"/>
          <w:shd w:val="clear" w:color="auto" w:fill="FFFFFF"/>
          <w:rtl/>
        </w:rPr>
        <w:t>שלחן ערוך יורה דעה רמב:יד בהג"ה</w:t>
      </w:r>
    </w:p>
    <w:p w14:paraId="2ADE05CA" w14:textId="77777777" w:rsidR="00152BD4" w:rsidRPr="0051751A" w:rsidRDefault="00152BD4" w:rsidP="00152BD4">
      <w:pPr>
        <w:rPr>
          <w:rtl/>
        </w:rPr>
      </w:pPr>
      <w:r w:rsidRPr="0051751A">
        <w:rPr>
          <w:rtl/>
        </w:rPr>
        <w:t>ועוד נ"ל שמותר לתת מורינו לאחד שיסדר גיטין, כב ואף על פי שמדין הסמיכה שבימים הראשונים לא הוי דינא הכי, מ"מ עכשיו אינו אלא נטילת רשות בעלמא ושרי.</w:t>
      </w:r>
    </w:p>
    <w:p w14:paraId="2290E177" w14:textId="77777777" w:rsidR="00152BD4" w:rsidRPr="0051751A" w:rsidRDefault="00152BD4" w:rsidP="00152BD4">
      <w:pPr>
        <w:pStyle w:val="Heading2"/>
        <w:rPr>
          <w:shd w:val="clear" w:color="auto" w:fill="FFFFFF"/>
          <w:rtl/>
        </w:rPr>
      </w:pPr>
      <w:r w:rsidRPr="0051751A">
        <w:rPr>
          <w:rFonts w:hint="cs"/>
          <w:shd w:val="clear" w:color="auto" w:fill="FFFFFF"/>
          <w:rtl/>
        </w:rPr>
        <w:t>ביאור הגר"א שם ס"ק לב</w:t>
      </w:r>
    </w:p>
    <w:p w14:paraId="2B2645DC" w14:textId="77777777" w:rsidR="00152BD4" w:rsidRPr="0051751A" w:rsidRDefault="00152BD4" w:rsidP="00152BD4">
      <w:pPr>
        <w:rPr>
          <w:rtl/>
        </w:rPr>
      </w:pPr>
      <w:r w:rsidRPr="0051751A">
        <w:rPr>
          <w:rtl/>
        </w:rPr>
        <w:t>וי"א דמי כו'. ע"ש במהרי"ו שכתב שמא אינו בקי</w:t>
      </w:r>
      <w:r w:rsidRPr="0051751A">
        <w:t>:</w:t>
      </w:r>
    </w:p>
    <w:p w14:paraId="7652C22A" w14:textId="77777777" w:rsidR="00152BD4" w:rsidRPr="0051751A" w:rsidRDefault="00152BD4" w:rsidP="00152BD4">
      <w:pPr>
        <w:pStyle w:val="Heading2"/>
        <w:rPr>
          <w:shd w:val="clear" w:color="auto" w:fill="FFFFFF"/>
        </w:rPr>
      </w:pPr>
      <w:r w:rsidRPr="0051751A">
        <w:rPr>
          <w:shd w:val="clear" w:color="auto" w:fill="FFFFFF"/>
          <w:rtl/>
          <w:lang w:val="he"/>
        </w:rPr>
        <w:t>רש"י גיטין ה</w:t>
      </w:r>
      <w:r w:rsidRPr="0051751A">
        <w:rPr>
          <w:shd w:val="clear" w:color="auto" w:fill="FFFFFF"/>
          <w:rtl/>
          <w:lang w:val="he" w:bidi="he"/>
        </w:rPr>
        <w:t>:</w:t>
      </w:r>
    </w:p>
    <w:p w14:paraId="5FEFBCC4" w14:textId="77777777" w:rsidR="00152BD4" w:rsidRPr="0051751A" w:rsidRDefault="00152BD4" w:rsidP="00152BD4">
      <w:r w:rsidRPr="0051751A">
        <w:rPr>
          <w:rFonts w:eastAsia="Narkisim"/>
          <w:rtl/>
          <w:lang w:val="he"/>
        </w:rPr>
        <w:t>ממונה אגיטי - דקי"ל (קידושין דף ו:) כל שאינו יודע בטיב גיטין וקידושין לא יהא לו עסק עמהן והוו ממנו גברא רבה לאורויי היכי נעביד</w:t>
      </w:r>
      <w:r w:rsidRPr="0051751A">
        <w:rPr>
          <w:rFonts w:eastAsia="Narkisim"/>
          <w:rtl/>
          <w:lang w:val="he" w:bidi="he"/>
        </w:rPr>
        <w:t>.</w:t>
      </w:r>
    </w:p>
    <w:p w14:paraId="0B29A09F" w14:textId="77777777" w:rsidR="00152BD4" w:rsidRPr="0051751A" w:rsidRDefault="00152BD4" w:rsidP="00152BD4">
      <w:pPr>
        <w:pStyle w:val="Heading2"/>
        <w:rPr>
          <w:shd w:val="clear" w:color="auto" w:fill="FFFFFF"/>
          <w:rtl/>
        </w:rPr>
      </w:pPr>
      <w:r w:rsidRPr="0051751A">
        <w:rPr>
          <w:rFonts w:hint="cs"/>
          <w:shd w:val="clear" w:color="auto" w:fill="FFFFFF"/>
          <w:rtl/>
        </w:rPr>
        <w:t>שלחן ערוך אבן העזר קכג:ה בהג"ה</w:t>
      </w:r>
    </w:p>
    <w:p w14:paraId="57039913" w14:textId="77777777" w:rsidR="00152BD4" w:rsidRPr="0051751A" w:rsidRDefault="00152BD4" w:rsidP="00152BD4">
      <w:pPr>
        <w:rPr>
          <w:rtl/>
        </w:rPr>
      </w:pPr>
      <w:r w:rsidRPr="0051751A">
        <w:rPr>
          <w:rtl/>
        </w:rPr>
        <w:t>ואין לגרש בלילה, ואם גירש בלילה י"א דהוי גט פסול (ר"י מינץ)</w:t>
      </w:r>
      <w:r w:rsidRPr="0051751A">
        <w:rPr>
          <w:vertAlign w:val="superscript"/>
          <w:rtl/>
        </w:rPr>
        <w:footnoteReference w:id="2"/>
      </w:r>
    </w:p>
    <w:p w14:paraId="40145946" w14:textId="77777777" w:rsidR="00152BD4" w:rsidRPr="0051751A" w:rsidRDefault="00152BD4" w:rsidP="00152BD4">
      <w:pPr>
        <w:pStyle w:val="Heading2"/>
        <w:rPr>
          <w:shd w:val="clear" w:color="auto" w:fill="FFFFFF"/>
          <w:rtl/>
        </w:rPr>
      </w:pPr>
      <w:r w:rsidRPr="0051751A">
        <w:rPr>
          <w:rFonts w:hint="cs"/>
          <w:shd w:val="clear" w:color="auto" w:fill="FFFFFF"/>
          <w:rtl/>
        </w:rPr>
        <w:t>שלחן ערוך אבן העזר קמב:ג-ד</w:t>
      </w:r>
    </w:p>
    <w:p w14:paraId="67B1B76E" w14:textId="77777777" w:rsidR="00152BD4" w:rsidRPr="0051751A" w:rsidRDefault="00152BD4" w:rsidP="00152BD4">
      <w:pPr>
        <w:pStyle w:val="Heading2"/>
        <w:rPr>
          <w:shd w:val="clear" w:color="auto" w:fill="FFFFFF"/>
          <w:rtl/>
        </w:rPr>
      </w:pPr>
      <w:r w:rsidRPr="0051751A">
        <w:rPr>
          <w:rFonts w:hint="cs"/>
          <w:shd w:val="clear" w:color="auto" w:fill="FFFFFF"/>
          <w:rtl/>
        </w:rPr>
        <w:t>ים של שלמה כתובות א:ב</w:t>
      </w:r>
    </w:p>
    <w:p w14:paraId="27D6F178" w14:textId="77777777" w:rsidR="00152BD4" w:rsidRPr="0051751A" w:rsidRDefault="00152BD4" w:rsidP="00152BD4">
      <w:r w:rsidRPr="0051751A">
        <w:rPr>
          <w:rtl/>
        </w:rPr>
        <w:t>דין בדיעבד אין חשש בנתינת הגט בלילה, על ידי שליח, והיכא דאיכא חשש עיגונא, נותנו אפילו על ידי הבעל, וכל שכן שיכולין לכותבו וליתנו בלילה</w:t>
      </w:r>
      <w:r w:rsidRPr="0051751A">
        <w:rPr>
          <w:rFonts w:hint="cs"/>
          <w:rtl/>
        </w:rPr>
        <w:t>...</w:t>
      </w:r>
    </w:p>
    <w:p w14:paraId="7BFA61C1" w14:textId="77777777" w:rsidR="00152BD4" w:rsidRPr="0051751A" w:rsidRDefault="00152BD4" w:rsidP="00152BD4">
      <w:pPr>
        <w:pStyle w:val="Heading2"/>
        <w:rPr>
          <w:shd w:val="clear" w:color="auto" w:fill="FFFFFF"/>
          <w:rtl/>
        </w:rPr>
      </w:pPr>
      <w:r w:rsidRPr="0051751A">
        <w:rPr>
          <w:shd w:val="clear" w:color="auto" w:fill="FFFFFF"/>
          <w:rtl/>
        </w:rPr>
        <w:t xml:space="preserve">רש"י סנהדרין </w:t>
      </w:r>
      <w:r w:rsidRPr="0051751A">
        <w:rPr>
          <w:rFonts w:hint="cs"/>
          <w:shd w:val="clear" w:color="auto" w:fill="FFFFFF"/>
          <w:rtl/>
        </w:rPr>
        <w:t xml:space="preserve">ב. </w:t>
      </w:r>
      <w:r w:rsidRPr="0051751A">
        <w:rPr>
          <w:shd w:val="clear" w:color="auto" w:fill="FFFFFF"/>
          <w:rtl/>
        </w:rPr>
        <w:t>בד"ה המיאונין</w:t>
      </w:r>
    </w:p>
    <w:p w14:paraId="4F852F29" w14:textId="77777777" w:rsidR="00152BD4" w:rsidRPr="0051751A" w:rsidRDefault="00152BD4" w:rsidP="00152BD4">
      <w:pPr>
        <w:pStyle w:val="Heading2"/>
        <w:rPr>
          <w:shd w:val="clear" w:color="auto" w:fill="FFFFFF"/>
        </w:rPr>
      </w:pPr>
      <w:r w:rsidRPr="0051751A">
        <w:rPr>
          <w:rFonts w:hint="cs"/>
          <w:shd w:val="clear" w:color="auto" w:fill="FFFFFF"/>
          <w:rtl/>
        </w:rPr>
        <w:lastRenderedPageBreak/>
        <w:t xml:space="preserve">שו"ת </w:t>
      </w:r>
      <w:r w:rsidRPr="0051751A">
        <w:rPr>
          <w:shd w:val="clear" w:color="auto" w:fill="FFFFFF"/>
          <w:rtl/>
        </w:rPr>
        <w:t>נ</w:t>
      </w:r>
      <w:r w:rsidRPr="0051751A">
        <w:rPr>
          <w:rFonts w:hint="cs"/>
          <w:shd w:val="clear" w:color="auto" w:fill="FFFFFF"/>
          <w:rtl/>
        </w:rPr>
        <w:t xml:space="preserve">ודע ביהודה </w:t>
      </w:r>
      <w:r w:rsidRPr="0051751A">
        <w:rPr>
          <w:shd w:val="clear" w:color="auto" w:fill="FFFFFF"/>
          <w:rtl/>
        </w:rPr>
        <w:t xml:space="preserve">תניינא </w:t>
      </w:r>
      <w:r w:rsidRPr="0051751A">
        <w:rPr>
          <w:rFonts w:hint="cs"/>
          <w:shd w:val="clear" w:color="auto" w:fill="FFFFFF"/>
          <w:rtl/>
        </w:rPr>
        <w:t xml:space="preserve">אבן העזר </w:t>
      </w:r>
      <w:r w:rsidRPr="0051751A">
        <w:rPr>
          <w:shd w:val="clear" w:color="auto" w:fill="FFFFFF"/>
          <w:rtl/>
        </w:rPr>
        <w:t>סי' קי"ד</w:t>
      </w:r>
      <w:r>
        <w:rPr>
          <w:rStyle w:val="FootnoteReference"/>
          <w:rtl/>
        </w:rPr>
        <w:footnoteReference w:id="3"/>
      </w:r>
    </w:p>
    <w:p w14:paraId="436F1016" w14:textId="77777777" w:rsidR="00152BD4" w:rsidRPr="0051751A" w:rsidRDefault="00152BD4" w:rsidP="00152BD4">
      <w:pPr>
        <w:pStyle w:val="Heading2"/>
        <w:rPr>
          <w:shd w:val="clear" w:color="auto" w:fill="FFFFFF"/>
          <w:rtl/>
        </w:rPr>
      </w:pPr>
      <w:r w:rsidRPr="0051751A">
        <w:rPr>
          <w:rFonts w:hint="cs"/>
          <w:shd w:val="clear" w:color="auto" w:fill="FFFFFF"/>
          <w:rtl/>
        </w:rPr>
        <w:t>שלחן ערוך סידור הגט סימן פח-פט</w:t>
      </w:r>
    </w:p>
    <w:p w14:paraId="16C8EDD1" w14:textId="77777777" w:rsidR="00152BD4" w:rsidRDefault="00152BD4" w:rsidP="00152BD4">
      <w:pPr>
        <w:rPr>
          <w:rtl/>
        </w:rPr>
      </w:pPr>
      <w:r w:rsidRPr="0051751A">
        <w:rPr>
          <w:rtl/>
        </w:rPr>
        <w:t>נתינת הגט, יש מי שאומר שצריך להיות ביום ולא בלילה</w:t>
      </w:r>
      <w:r w:rsidRPr="0051751A">
        <w:rPr>
          <w:rFonts w:hint="cs"/>
          <w:rtl/>
        </w:rPr>
        <w:t>...</w:t>
      </w:r>
      <w:r w:rsidRPr="0051751A">
        <w:rPr>
          <w:rtl/>
        </w:rPr>
        <w:t xml:space="preserve"> אם לא בשעת הדחק שאז אפי' בלילה ממש יכתב וינתן.</w:t>
      </w:r>
      <w:r w:rsidRPr="0051751A">
        <w:rPr>
          <w:vertAlign w:val="superscript"/>
          <w:rtl/>
        </w:rPr>
        <w:footnoteReference w:id="4"/>
      </w:r>
    </w:p>
    <w:p w14:paraId="35582BE4" w14:textId="77777777" w:rsidR="00152BD4" w:rsidRPr="001A3146" w:rsidRDefault="00152BD4" w:rsidP="00152BD4">
      <w:pPr>
        <w:pStyle w:val="Heading2"/>
        <w:rPr>
          <w:shd w:val="clear" w:color="auto" w:fill="FFFFFF"/>
        </w:rPr>
      </w:pPr>
      <w:r w:rsidRPr="00E013B1">
        <w:rPr>
          <w:shd w:val="clear" w:color="auto" w:fill="FFFFFF"/>
          <w:rtl/>
        </w:rPr>
        <w:t>כנסת הגדולה (אבן העזר כו:ז)</w:t>
      </w:r>
    </w:p>
    <w:p w14:paraId="5480DFE1" w14:textId="77777777" w:rsidR="00712E5E" w:rsidRPr="00152BD4" w:rsidRDefault="00712E5E" w:rsidP="00712E5E">
      <w:pPr>
        <w:rPr>
          <w:rtl/>
        </w:rPr>
      </w:pPr>
    </w:p>
    <w:sectPr w:rsidR="00712E5E" w:rsidRPr="00152BD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E7161" w14:textId="77777777" w:rsidR="00AE4EB8" w:rsidRDefault="00AE4EB8" w:rsidP="009F4441">
      <w:pPr>
        <w:spacing w:after="0" w:line="240" w:lineRule="auto"/>
      </w:pPr>
      <w:r>
        <w:separator/>
      </w:r>
    </w:p>
  </w:endnote>
  <w:endnote w:type="continuationSeparator" w:id="0">
    <w:p w14:paraId="73DE6C30" w14:textId="77777777" w:rsidR="00AE4EB8" w:rsidRDefault="00AE4EB8"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A6336"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553D8" w14:textId="77777777" w:rsidR="00AE4EB8" w:rsidRDefault="00AE4EB8" w:rsidP="009F4441">
      <w:pPr>
        <w:spacing w:after="0" w:line="240" w:lineRule="auto"/>
      </w:pPr>
      <w:r>
        <w:separator/>
      </w:r>
    </w:p>
  </w:footnote>
  <w:footnote w:type="continuationSeparator" w:id="0">
    <w:p w14:paraId="68EF8060" w14:textId="77777777" w:rsidR="00AE4EB8" w:rsidRDefault="00AE4EB8" w:rsidP="009F4441">
      <w:pPr>
        <w:spacing w:after="0" w:line="240" w:lineRule="auto"/>
      </w:pPr>
      <w:r>
        <w:continuationSeparator/>
      </w:r>
    </w:p>
  </w:footnote>
  <w:footnote w:id="1">
    <w:p w14:paraId="44A31C1A" w14:textId="77777777" w:rsidR="005B78AD" w:rsidRPr="007D01E3" w:rsidRDefault="005B78AD" w:rsidP="005B78AD">
      <w:pPr>
        <w:pStyle w:val="FootnoteText"/>
        <w:rPr>
          <w:sz w:val="18"/>
          <w:szCs w:val="18"/>
        </w:rPr>
      </w:pPr>
      <w:r w:rsidRPr="007D01E3">
        <w:rPr>
          <w:rStyle w:val="FootnoteReference"/>
          <w:sz w:val="18"/>
          <w:szCs w:val="18"/>
        </w:rPr>
        <w:footnoteRef/>
      </w:r>
      <w:r w:rsidRPr="007D01E3">
        <w:rPr>
          <w:sz w:val="18"/>
          <w:szCs w:val="18"/>
          <w:rtl/>
        </w:rPr>
        <w:t xml:space="preserve"> </w:t>
      </w:r>
      <w:r w:rsidRPr="007D01E3">
        <w:rPr>
          <w:rFonts w:hint="cs"/>
          <w:sz w:val="18"/>
          <w:szCs w:val="18"/>
          <w:rtl/>
        </w:rPr>
        <w:t>ע"ע תורת הנזיר א:ח</w:t>
      </w:r>
      <w:r w:rsidRPr="007D01E3">
        <w:rPr>
          <w:rFonts w:hint="cs"/>
          <w:sz w:val="18"/>
          <w:szCs w:val="18"/>
        </w:rPr>
        <w:t xml:space="preserve"> </w:t>
      </w:r>
      <w:r w:rsidRPr="007D01E3">
        <w:rPr>
          <w:rFonts w:hint="cs"/>
          <w:sz w:val="18"/>
          <w:szCs w:val="18"/>
          <w:rtl/>
        </w:rPr>
        <w:t xml:space="preserve">(הרב יצחק הוטנר, </w:t>
      </w:r>
      <w:hyperlink r:id="rId1" w:history="1">
        <w:r w:rsidRPr="007D01E3">
          <w:rPr>
            <w:rStyle w:val="Hyperlink"/>
            <w:rFonts w:hint="cs"/>
            <w:sz w:val="18"/>
            <w:szCs w:val="18"/>
            <w:rtl/>
          </w:rPr>
          <w:t>קישור</w:t>
        </w:r>
      </w:hyperlink>
      <w:r w:rsidRPr="007D01E3">
        <w:rPr>
          <w:rFonts w:hint="cs"/>
          <w:sz w:val="18"/>
          <w:szCs w:val="18"/>
          <w:rtl/>
        </w:rPr>
        <w:t xml:space="preserve">) ובדברי </w:t>
      </w:r>
      <w:hyperlink r:id="rId2" w:history="1">
        <w:r w:rsidRPr="007D01E3">
          <w:rPr>
            <w:rStyle w:val="Hyperlink"/>
            <w:rFonts w:hint="cs"/>
            <w:sz w:val="18"/>
            <w:szCs w:val="18"/>
            <w:rtl/>
          </w:rPr>
          <w:t>הרב אלחנן אהרמן</w:t>
        </w:r>
      </w:hyperlink>
    </w:p>
  </w:footnote>
  <w:footnote w:id="2">
    <w:p w14:paraId="12988FD0" w14:textId="77777777" w:rsidR="00152BD4" w:rsidRDefault="00152BD4" w:rsidP="00152BD4">
      <w:pPr>
        <w:pStyle w:val="FootnoteText"/>
      </w:pPr>
      <w:r>
        <w:rPr>
          <w:rStyle w:val="FootnoteReference"/>
        </w:rPr>
        <w:footnoteRef/>
      </w:r>
      <w:r>
        <w:rPr>
          <w:rtl/>
        </w:rPr>
        <w:t xml:space="preserve"> </w:t>
      </w:r>
      <w:r>
        <w:rPr>
          <w:rFonts w:hint="cs"/>
          <w:rtl/>
        </w:rPr>
        <w:t>ע"ש בפ"ת ובב"ש ובב"י סימן קלו</w:t>
      </w:r>
    </w:p>
  </w:footnote>
  <w:footnote w:id="3">
    <w:p w14:paraId="01D1EB12" w14:textId="77777777" w:rsidR="00152BD4" w:rsidRDefault="00152BD4" w:rsidP="00152BD4">
      <w:r>
        <w:rPr>
          <w:rStyle w:val="FootnoteReference"/>
        </w:rPr>
        <w:footnoteRef/>
      </w:r>
      <w:r>
        <w:rPr>
          <w:rtl/>
        </w:rPr>
        <w:t xml:space="preserve"> </w:t>
      </w:r>
      <w:r>
        <w:rPr>
          <w:rFonts w:hint="cs"/>
          <w:rtl/>
        </w:rPr>
        <w:t xml:space="preserve">אין מגרשין בלילה: </w:t>
      </w:r>
      <w:r w:rsidRPr="003336EA">
        <w:rPr>
          <w:rtl/>
        </w:rPr>
        <w:t>ע' שלחן ערוך אבן העזר סדר הגט סעיף א ופט</w:t>
      </w:r>
      <w:r>
        <w:rPr>
          <w:rFonts w:hint="cs"/>
          <w:rtl/>
        </w:rPr>
        <w:t>,</w:t>
      </w:r>
      <w:r w:rsidRPr="003336EA">
        <w:rPr>
          <w:rtl/>
        </w:rPr>
        <w:t xml:space="preserve"> ובפתחי תשובה</w:t>
      </w:r>
      <w:r>
        <w:rPr>
          <w:rFonts w:hint="cs"/>
          <w:rtl/>
        </w:rPr>
        <w:t xml:space="preserve"> שם</w:t>
      </w:r>
      <w:r w:rsidRPr="003336EA">
        <w:rPr>
          <w:rtl/>
        </w:rPr>
        <w:t xml:space="preserve"> ס"ק מ</w:t>
      </w:r>
      <w:r>
        <w:rPr>
          <w:rFonts w:hint="cs"/>
          <w:rtl/>
        </w:rPr>
        <w:t>,</w:t>
      </w:r>
      <w:r w:rsidRPr="003336EA">
        <w:rPr>
          <w:rtl/>
        </w:rPr>
        <w:t xml:space="preserve"> ובסימן קכג סע' ה בהג"ה, </w:t>
      </w:r>
      <w:r>
        <w:rPr>
          <w:rFonts w:hint="cs"/>
          <w:rtl/>
        </w:rPr>
        <w:t>וחלקת מחוקק</w:t>
      </w:r>
      <w:r w:rsidRPr="003336EA">
        <w:rPr>
          <w:rtl/>
        </w:rPr>
        <w:t xml:space="preserve"> </w:t>
      </w:r>
      <w:r>
        <w:rPr>
          <w:rFonts w:hint="cs"/>
          <w:rtl/>
        </w:rPr>
        <w:t xml:space="preserve">שם </w:t>
      </w:r>
      <w:r w:rsidRPr="003336EA">
        <w:rPr>
          <w:rtl/>
        </w:rPr>
        <w:t>ס"ק יג ויד</w:t>
      </w:r>
      <w:r>
        <w:rPr>
          <w:rFonts w:hint="cs"/>
          <w:rtl/>
        </w:rPr>
        <w:t>,</w:t>
      </w:r>
      <w:r w:rsidRPr="00E351AD">
        <w:rPr>
          <w:rtl/>
        </w:rPr>
        <w:t xml:space="preserve"> </w:t>
      </w:r>
      <w:r>
        <w:rPr>
          <w:rtl/>
        </w:rPr>
        <w:t xml:space="preserve">ובפתחי תשובה שם ס"ק </w:t>
      </w:r>
      <w:r>
        <w:rPr>
          <w:rFonts w:hint="cs"/>
          <w:rtl/>
        </w:rPr>
        <w:t>ו</w:t>
      </w:r>
      <w:r w:rsidRPr="003336EA">
        <w:rPr>
          <w:rtl/>
        </w:rPr>
        <w:t>, ובית יוסף סימן קלו ו(ב)</w:t>
      </w:r>
    </w:p>
  </w:footnote>
  <w:footnote w:id="4">
    <w:p w14:paraId="6D33B01B" w14:textId="77777777" w:rsidR="00152BD4" w:rsidRDefault="00152BD4" w:rsidP="00152BD4">
      <w:pPr>
        <w:pStyle w:val="FootnoteText"/>
      </w:pPr>
      <w:r>
        <w:rPr>
          <w:rStyle w:val="FootnoteReference"/>
        </w:rPr>
        <w:footnoteRef/>
      </w:r>
      <w:r>
        <w:rPr>
          <w:rtl/>
        </w:rPr>
        <w:t xml:space="preserve"> </w:t>
      </w:r>
      <w:r>
        <w:rPr>
          <w:rFonts w:hint="cs"/>
          <w:rtl/>
        </w:rPr>
        <w:t xml:space="preserve">ע"ש סעיף ד' בהג"ה </w:t>
      </w:r>
      <w:r>
        <w:rPr>
          <w:rtl/>
        </w:rPr>
        <w:t xml:space="preserve">כי סדור הגט </w:t>
      </w:r>
      <w:r w:rsidRPr="00FE408A">
        <w:rPr>
          <w:rtl/>
        </w:rPr>
        <w:t>אינו דין, אלא למוד בעלמא.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87288" w14:textId="77777777" w:rsidR="009F4441" w:rsidRPr="009F4441" w:rsidRDefault="009F4441" w:rsidP="00231861">
    <w:pPr>
      <w:jc w:val="center"/>
    </w:pPr>
    <w:r w:rsidRPr="00C52284">
      <w:rPr>
        <w:rtl/>
      </w:rPr>
      <w:t>הרב צבי שכטר</w:t>
    </w:r>
    <w:r w:rsidRPr="00C52284">
      <w:tab/>
    </w:r>
    <w:r w:rsidRPr="00C52284">
      <w:rPr>
        <w:rtl/>
      </w:rPr>
      <w:tab/>
    </w:r>
    <w:r w:rsidRPr="00C52284">
      <w:tab/>
    </w:r>
    <w:r w:rsidR="00231861" w:rsidRPr="00231861">
      <w:rPr>
        <w:rtl/>
      </w:rPr>
      <w:tab/>
      <w:t xml:space="preserve">   ‏‏‏י"ט אלול תשע"ו</w:t>
    </w:r>
    <w:r w:rsidR="00231861" w:rsidRPr="00231861">
      <w:rPr>
        <w:rtl/>
      </w:rPr>
      <w:tab/>
    </w:r>
    <w:r>
      <w:rPr>
        <w:rtl/>
      </w:rPr>
      <w:tab/>
    </w:r>
    <w:r w:rsidRPr="00C52284">
      <w:rPr>
        <w:rtl/>
      </w:rPr>
      <w:t xml:space="preserve"> שיעור </w:t>
    </w:r>
    <w:r w:rsidR="00231861">
      <w:rPr>
        <w:rFonts w:hint="cs"/>
        <w:rtl/>
      </w:rPr>
      <w:t>ט"ו</w:t>
    </w:r>
    <w:r>
      <w:rPr>
        <w:rFonts w:hint="cs"/>
        <w:rtl/>
      </w:rPr>
      <w:t xml:space="preserve"> -  מסכת קידושין </w:t>
    </w:r>
    <w:r w:rsidR="00231861">
      <w:rPr>
        <w:rFonts w:hint="cs"/>
        <w:rtl/>
      </w:rPr>
      <w:t>ו</w:t>
    </w:r>
    <w:r>
      <w:rPr>
        <w:rFonts w:hint="cs"/>
        <w:rtl/>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861"/>
    <w:rsid w:val="00021AF0"/>
    <w:rsid w:val="000C25FD"/>
    <w:rsid w:val="001128FB"/>
    <w:rsid w:val="00152BD4"/>
    <w:rsid w:val="001A3E2F"/>
    <w:rsid w:val="001C2D16"/>
    <w:rsid w:val="00231861"/>
    <w:rsid w:val="002D7162"/>
    <w:rsid w:val="0035530E"/>
    <w:rsid w:val="00381372"/>
    <w:rsid w:val="00453E8B"/>
    <w:rsid w:val="00494D0E"/>
    <w:rsid w:val="00586F98"/>
    <w:rsid w:val="005B78AD"/>
    <w:rsid w:val="00684E97"/>
    <w:rsid w:val="00712E5E"/>
    <w:rsid w:val="007D01E3"/>
    <w:rsid w:val="009F4441"/>
    <w:rsid w:val="00A377A8"/>
    <w:rsid w:val="00AE4EB8"/>
    <w:rsid w:val="00B85607"/>
    <w:rsid w:val="00C47AA7"/>
    <w:rsid w:val="00D2305D"/>
    <w:rsid w:val="00EB734E"/>
    <w:rsid w:val="00FA373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194A6"/>
  <w15:chartTrackingRefBased/>
  <w15:docId w15:val="{39C046B0-F48C-4877-84D0-632BAE15B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F4441"/>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semiHidden/>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12E5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semiHidden/>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paragraph" w:styleId="FootnoteText">
    <w:name w:val="footnote text"/>
    <w:basedOn w:val="Normal"/>
    <w:link w:val="FootnoteTextChar"/>
    <w:uiPriority w:val="99"/>
    <w:unhideWhenUsed/>
    <w:rsid w:val="00453E8B"/>
    <w:pPr>
      <w:spacing w:after="0" w:line="240" w:lineRule="auto"/>
    </w:pPr>
    <w:rPr>
      <w:sz w:val="20"/>
      <w:szCs w:val="20"/>
    </w:rPr>
  </w:style>
  <w:style w:type="character" w:customStyle="1" w:styleId="FootnoteTextChar">
    <w:name w:val="Footnote Text Char"/>
    <w:basedOn w:val="DefaultParagraphFont"/>
    <w:link w:val="FootnoteText"/>
    <w:uiPriority w:val="99"/>
    <w:rsid w:val="00453E8B"/>
    <w:rPr>
      <w:rFonts w:ascii="Narkisim" w:hAnsi="Narkisim" w:cs="Narkisim"/>
      <w:sz w:val="20"/>
      <w:szCs w:val="20"/>
    </w:rPr>
  </w:style>
  <w:style w:type="character" w:styleId="FootnoteReference">
    <w:name w:val="footnote reference"/>
    <w:basedOn w:val="DefaultParagraphFont"/>
    <w:uiPriority w:val="99"/>
    <w:semiHidden/>
    <w:unhideWhenUsed/>
    <w:rsid w:val="00453E8B"/>
    <w:rPr>
      <w:vertAlign w:val="superscript"/>
    </w:rPr>
  </w:style>
  <w:style w:type="character" w:styleId="Hyperlink">
    <w:name w:val="Hyperlink"/>
    <w:basedOn w:val="DefaultParagraphFont"/>
    <w:uiPriority w:val="99"/>
    <w:unhideWhenUsed/>
    <w:rsid w:val="00684E97"/>
    <w:rPr>
      <w:color w:val="0563C1" w:themeColor="hyperlink"/>
      <w:u w:val="single"/>
    </w:rPr>
  </w:style>
  <w:style w:type="character" w:customStyle="1" w:styleId="Heading4Char">
    <w:name w:val="Heading 4 Char"/>
    <w:basedOn w:val="DefaultParagraphFont"/>
    <w:link w:val="Heading4"/>
    <w:uiPriority w:val="9"/>
    <w:semiHidden/>
    <w:rsid w:val="00712E5E"/>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tzar.org/wotzar/Book.aspx?147105&am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hmatsabaitzlusa.blogspot.com/2011/05/blog-post_3287.html" TargetMode="External"/><Relationship Id="rId1" Type="http://schemas.openxmlformats.org/officeDocument/2006/relationships/hyperlink" Target="http://www.hebrewbooks.org/pdfpager.aspx?req=14818&amp;st=&amp;pgnum=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23</TotalTime>
  <Pages>3</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17</cp:revision>
  <dcterms:created xsi:type="dcterms:W3CDTF">2016-09-22T15:33:00Z</dcterms:created>
  <dcterms:modified xsi:type="dcterms:W3CDTF">2016-09-26T04:28:00Z</dcterms:modified>
</cp:coreProperties>
</file>