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A159F" w14:textId="77777777" w:rsidR="008E3BD3" w:rsidRPr="00224F18" w:rsidRDefault="008E3BD3" w:rsidP="008E3BD3">
      <w:pPr>
        <w:pStyle w:val="Title"/>
        <w:bidi/>
        <w:rPr>
          <w:sz w:val="72"/>
          <w:szCs w:val="72"/>
          <w:rtl/>
        </w:rPr>
      </w:pPr>
      <w:r w:rsidRPr="00224F18">
        <w:rPr>
          <w:rFonts w:hint="cs"/>
          <w:sz w:val="72"/>
          <w:szCs w:val="72"/>
          <w:rtl/>
        </w:rPr>
        <w:t xml:space="preserve">עזר לצבי </w:t>
      </w:r>
    </w:p>
    <w:p w14:paraId="08AC64B5" w14:textId="486804F9" w:rsidR="008E3BD3" w:rsidRPr="008E3BD3" w:rsidRDefault="00DB030B" w:rsidP="00DB030B">
      <w:pPr>
        <w:pStyle w:val="Subtitle"/>
        <w:rPr>
          <w:rtl/>
        </w:rPr>
      </w:pPr>
      <w:r>
        <w:rPr>
          <w:rFonts w:hint="cs"/>
          <w:rtl/>
        </w:rPr>
        <w:t>חזרה ה'</w:t>
      </w:r>
    </w:p>
    <w:p w14:paraId="58A03577" w14:textId="72AFC787" w:rsidR="008E3BD3" w:rsidRDefault="00224F18" w:rsidP="008E3BD3">
      <w:pPr>
        <w:pStyle w:val="Heading1"/>
      </w:pPr>
      <w:r>
        <w:rPr>
          <w:rFonts w:hint="cs"/>
          <w:rtl/>
        </w:rPr>
        <w:t>דעת אחרת</w:t>
      </w:r>
      <w:r w:rsidR="002C30E0">
        <w:rPr>
          <w:rFonts w:hint="cs"/>
          <w:rtl/>
        </w:rPr>
        <w:t xml:space="preserve"> מקנה בלי</w:t>
      </w:r>
      <w:r>
        <w:rPr>
          <w:rFonts w:hint="cs"/>
          <w:rtl/>
        </w:rPr>
        <w:t xml:space="preserve"> ודעת קונה</w:t>
      </w:r>
    </w:p>
    <w:p w14:paraId="225A329C" w14:textId="341F29A0" w:rsidR="00823A6F" w:rsidRDefault="00823A6F" w:rsidP="008E3BD3">
      <w:pPr>
        <w:pStyle w:val="Heading2"/>
        <w:rPr>
          <w:rtl/>
        </w:rPr>
      </w:pPr>
      <w:r>
        <w:rPr>
          <w:rFonts w:hint="cs"/>
          <w:rtl/>
        </w:rPr>
        <w:t>תוספות סנהדרין סח: ד"ה קטן</w:t>
      </w:r>
    </w:p>
    <w:p w14:paraId="2A8CB837" w14:textId="1BAAADDA" w:rsidR="004722B8" w:rsidRDefault="004722B8" w:rsidP="004722B8">
      <w:pPr>
        <w:pStyle w:val="Heading2"/>
        <w:rPr>
          <w:rtl/>
        </w:rPr>
      </w:pPr>
      <w:r>
        <w:rPr>
          <w:rFonts w:hint="cs"/>
          <w:rtl/>
        </w:rPr>
        <w:t>שלחן ערוך חושן משפט רמג:טו</w:t>
      </w:r>
    </w:p>
    <w:p w14:paraId="7DDC39C4" w14:textId="6BB181B7" w:rsidR="004722B8" w:rsidRDefault="004722B8" w:rsidP="004722B8">
      <w:pPr>
        <w:pStyle w:val="Heading2"/>
        <w:rPr>
          <w:rtl/>
        </w:rPr>
      </w:pPr>
      <w:r>
        <w:rPr>
          <w:rFonts w:hint="cs"/>
          <w:rtl/>
        </w:rPr>
        <w:t>בבא מציעא יא:</w:t>
      </w:r>
    </w:p>
    <w:p w14:paraId="13CA4890" w14:textId="0005E895" w:rsidR="00741560" w:rsidRDefault="00741560" w:rsidP="00741560">
      <w:pPr>
        <w:pStyle w:val="Heading2"/>
        <w:rPr>
          <w:rtl/>
        </w:rPr>
      </w:pPr>
      <w:r>
        <w:rPr>
          <w:rFonts w:hint="cs"/>
          <w:rtl/>
        </w:rPr>
        <w:t>שיטה מקובצת בבא מציעא יב.</w:t>
      </w:r>
      <w:r w:rsidR="00764C0B">
        <w:rPr>
          <w:rFonts w:hint="cs"/>
          <w:rtl/>
        </w:rPr>
        <w:t xml:space="preserve"> בשם ר' פרץ</w:t>
      </w:r>
    </w:p>
    <w:p w14:paraId="7DB84D34" w14:textId="2C8A926E" w:rsidR="00D40A1F" w:rsidRDefault="00D40A1F" w:rsidP="00D40A1F">
      <w:pPr>
        <w:pStyle w:val="Heading2"/>
      </w:pPr>
      <w:r>
        <w:rPr>
          <w:rFonts w:hint="cs"/>
          <w:rtl/>
        </w:rPr>
        <w:t>תוספות ר"פ שם</w:t>
      </w:r>
    </w:p>
    <w:p w14:paraId="5B2041D4" w14:textId="35A0B3BE" w:rsidR="00F06814" w:rsidRDefault="00F06814" w:rsidP="00F06814">
      <w:pPr>
        <w:pStyle w:val="Heading2"/>
        <w:rPr>
          <w:rtl/>
        </w:rPr>
      </w:pPr>
      <w:r>
        <w:rPr>
          <w:rFonts w:hint="cs"/>
          <w:rtl/>
        </w:rPr>
        <w:t>גיטין נט:</w:t>
      </w:r>
    </w:p>
    <w:p w14:paraId="711C4B40" w14:textId="5A3BFB93" w:rsidR="007E765E" w:rsidRPr="007E765E" w:rsidRDefault="007E765E" w:rsidP="007E765E">
      <w:pPr>
        <w:pStyle w:val="Heading2"/>
      </w:pPr>
      <w:r>
        <w:rPr>
          <w:rFonts w:hint="cs"/>
          <w:rtl/>
        </w:rPr>
        <w:t>ש"ך חושן משפט רמג:ו</w:t>
      </w:r>
    </w:p>
    <w:p w14:paraId="0AD0E655" w14:textId="12662260" w:rsidR="00F06591" w:rsidRDefault="007E765E" w:rsidP="008E3BD3">
      <w:pPr>
        <w:pStyle w:val="Heading2"/>
        <w:rPr>
          <w:rtl/>
        </w:rPr>
      </w:pPr>
      <w:r>
        <w:rPr>
          <w:rFonts w:hint="cs"/>
          <w:rtl/>
        </w:rPr>
        <w:t>ארץ הצבי עמ' קעט, ר</w:t>
      </w:r>
    </w:p>
    <w:p w14:paraId="152FFB89" w14:textId="2C691CAC" w:rsidR="008E3BD3" w:rsidRDefault="00C8755C" w:rsidP="008E3BD3">
      <w:pPr>
        <w:pStyle w:val="Heading2"/>
        <w:rPr>
          <w:rtl/>
        </w:rPr>
      </w:pPr>
      <w:r>
        <w:rPr>
          <w:rFonts w:hint="cs"/>
          <w:rtl/>
        </w:rPr>
        <w:t>בעקבי הצאן עמ' קצג</w:t>
      </w:r>
    </w:p>
    <w:p w14:paraId="577DB266" w14:textId="6A007154" w:rsidR="00E70B40" w:rsidRPr="00E70B40" w:rsidRDefault="00AF6701" w:rsidP="00E70B40">
      <w:pPr>
        <w:pStyle w:val="Heading2"/>
        <w:rPr>
          <w:rtl/>
        </w:rPr>
      </w:pPr>
      <w:r>
        <w:rPr>
          <w:rFonts w:hint="cs"/>
          <w:rtl/>
        </w:rPr>
        <w:t>שבועות מא.</w:t>
      </w:r>
    </w:p>
    <w:p w14:paraId="1BD12347" w14:textId="0B80F3A9" w:rsidR="00AF6701" w:rsidRDefault="00D11FFC" w:rsidP="00AF6701">
      <w:pPr>
        <w:pStyle w:val="Heading2"/>
        <w:rPr>
          <w:rtl/>
        </w:rPr>
      </w:pPr>
      <w:r>
        <w:rPr>
          <w:rFonts w:hint="cs"/>
          <w:rtl/>
        </w:rPr>
        <w:t>גינת אגוז עמ' עו</w:t>
      </w:r>
    </w:p>
    <w:p w14:paraId="780A28B7" w14:textId="7BF8C8C7" w:rsidR="003C2155" w:rsidRDefault="003C2155" w:rsidP="00031D7A">
      <w:pPr>
        <w:pStyle w:val="Heading1"/>
        <w:rPr>
          <w:rtl/>
        </w:rPr>
      </w:pPr>
      <w:r>
        <w:rPr>
          <w:rFonts w:hint="cs"/>
          <w:rtl/>
        </w:rPr>
        <w:t>חרש שאינו מדבר שהתפקח</w:t>
      </w:r>
      <w:r w:rsidR="00507ADC">
        <w:rPr>
          <w:rStyle w:val="FootnoteReference"/>
          <w:rtl/>
        </w:rPr>
        <w:footnoteReference w:id="1"/>
      </w:r>
    </w:p>
    <w:p w14:paraId="7C0FFEA1" w14:textId="3DE9C886" w:rsidR="003C2155" w:rsidRPr="003C2155" w:rsidRDefault="003C2155" w:rsidP="003C2155">
      <w:pPr>
        <w:pStyle w:val="Heading2"/>
        <w:rPr>
          <w:rtl/>
        </w:rPr>
      </w:pPr>
      <w:r w:rsidRPr="003C2155">
        <w:rPr>
          <w:rtl/>
        </w:rPr>
        <w:t xml:space="preserve">רבי עקיבא איגר יורה דעה </w:t>
      </w:r>
      <w:r>
        <w:rPr>
          <w:rFonts w:hint="cs"/>
          <w:rtl/>
        </w:rPr>
        <w:t xml:space="preserve">ריש </w:t>
      </w:r>
      <w:r w:rsidRPr="003C2155">
        <w:rPr>
          <w:rtl/>
        </w:rPr>
        <w:t>סימן א</w:t>
      </w:r>
    </w:p>
    <w:p w14:paraId="776C3412" w14:textId="499F370E" w:rsidR="003C2155" w:rsidRPr="003C2155" w:rsidRDefault="003C2155" w:rsidP="003C2155">
      <w:pPr>
        <w:rPr>
          <w:rtl/>
        </w:rPr>
      </w:pPr>
      <w:r w:rsidRPr="003C2155">
        <w:rPr>
          <w:rtl/>
        </w:rPr>
        <w:t>(ש"ך ס"ק ט"ו) משמע בש"ס כו'. לענ"ד אינו מוכרח דהנה בתוס' שם ד"ה בליתא קמן וכו' ותימא דמשמע וכו' ולענ"ד יש ליישב תמיהתם דהנה בלא"ה צריך להבין ביסוד דבריהם דדייקי מסוגיין דבבדקו ולא גמיר לא מהני אחרים רואים אותו דמ"ש מחש"ו דמהני אחרים רואים אותו וצ"ל דבחש"ו דידוע להאחרים דרוב מעשיהם מקולקלים משגיחים היטב ודייקי שפיר אבל באינש דעלמא אף לרבינא דלא ס"ל רוב מצוי'. מ"מ עכ"פ מצויים מסתם דשוחט הוא מומחה וסומכים האחרים ע"ז ולא דייקי שפיר להשגיח בדקדוק כראוי וסברא זו מוכרחים ג"כ לומר בתוס' בריש חולין ד"ה שמא יקלקלו וכו' וליכא למימר דדיעבד נקט משום אין מומחים אבל חש"ו אפי' לכתחילה שוחטים באחרים רואים אותו הרי מפורש די"ל דחש"ו קיל טפי מאין מומחים והיינו כנ"ל (והב"י כתב על דברי הטור אלו דמהני אחרים רואים אותו פשוט כדמוכח מדברי תוס' הנ"ל דיש לומר דחש"ו קילי בזה אבל באמת א"צ לראיה דהרי מבואר בדף י"ב במה דאמרי' אי דידע דלא גמיר פשיטא הרי מפורש דמהני אחרים רואים אותו) לפ"ז יש לומר דלא קשה קושית תוספות די"ל דדוקא בידוע דלא גמיר בזה האחרים הרואים אותו ידעו להשגיח היטב כיון דלא גמיר וכן בסתם בנ"א אף דיש חשש דלא השגיחו היטב וכנ"ל מ"מ יש סניף דאולי הוא באמת מומחה אבל בסתם בנ"א ושחט ואח"כ בדקו אותו ולא ידע יש לומר דלא מהני אחרים רואים אותו כיון דאז לא ידעו דלא גמיר לא דקדקו אחריו היטב (ונולד לנו מזה דין חדש דבבדקו אותו אח"כ ולא ידע דלא מהני אחרים רואים אותו ובפרט לדידן דקיי"ל רוב מצויים והיה בחזקת מומחה לא הוצרכו האחרים להשגיח כ"כ בדיוק) ולפ"ז אזדא ראיית הש"ך די"ל דמה דמבואר באוקימתא דרבינא דלכתחילה לא מהני אחרים רואים אותו היינו הכל בסתם בנ"א דחיישי' דלא ישגיחו כ"כ אבל ביודעים בו דלא גמיר יש לומר דאפי' לכתחילה נותנים באחרים רואים אותו. ודו"ק:</w:t>
      </w:r>
    </w:p>
    <w:p w14:paraId="6D103ECF" w14:textId="5E509CB2" w:rsidR="00031D7A" w:rsidRDefault="00031D7A" w:rsidP="00031D7A">
      <w:pPr>
        <w:pStyle w:val="Heading1"/>
        <w:rPr>
          <w:rtl/>
        </w:rPr>
      </w:pPr>
      <w:r>
        <w:rPr>
          <w:rFonts w:hint="cs"/>
          <w:rtl/>
        </w:rPr>
        <w:t xml:space="preserve">דעת </w:t>
      </w:r>
      <w:r w:rsidR="005115CE">
        <w:rPr>
          <w:rFonts w:hint="cs"/>
          <w:rtl/>
        </w:rPr>
        <w:t xml:space="preserve">וכפיה </w:t>
      </w:r>
      <w:r>
        <w:rPr>
          <w:rFonts w:hint="cs"/>
          <w:rtl/>
        </w:rPr>
        <w:t>בגיטין</w:t>
      </w:r>
    </w:p>
    <w:p w14:paraId="2A6C4E58" w14:textId="48DF373D" w:rsidR="00031D7A" w:rsidRDefault="00031D7A" w:rsidP="00031D7A">
      <w:pPr>
        <w:pStyle w:val="Heading2"/>
        <w:rPr>
          <w:rtl/>
        </w:rPr>
      </w:pPr>
      <w:r>
        <w:rPr>
          <w:rFonts w:hint="cs"/>
          <w:rtl/>
        </w:rPr>
        <w:t>גינת אגוז סימן לב, עמ' קיג</w:t>
      </w:r>
    </w:p>
    <w:p w14:paraId="365702F7" w14:textId="294831F9" w:rsidR="00D10206" w:rsidRDefault="00D10206" w:rsidP="00D10206">
      <w:pPr>
        <w:pStyle w:val="Heading2"/>
        <w:rPr>
          <w:rtl/>
        </w:rPr>
      </w:pPr>
      <w:r>
        <w:rPr>
          <w:rFonts w:hint="cs"/>
          <w:rtl/>
        </w:rPr>
        <w:lastRenderedPageBreak/>
        <w:t>בית יוסף אבן העזר קנד:כג(ב)</w:t>
      </w:r>
    </w:p>
    <w:p w14:paraId="51B1F845" w14:textId="57EEBD1F" w:rsidR="00D10206" w:rsidRDefault="00D10206" w:rsidP="00D10206">
      <w:r w:rsidRPr="00D10206">
        <w:rPr>
          <w:rtl/>
        </w:rPr>
        <w:t>כתב הריטב"א בתשובה (שו"ת הריטב"א סי' צו) על איש שנשבע לגרש את אשתו וגירשה קודם שיתירו לו ואח"כ היה מערער לפסול הגט מפני כך והשיב זו אינה טענה לפסול הגט בדיעבד שלא מצינו שיהא חשוב אונס בגט אלא באונס שבא לו שלא מעצמו אבל שבועה זו הוא הביאה על עצמו שהרי מרצון עצמו חייב עצמו בשבועה לגרש לפי שגמר דעתו לגרש עכ"פ [ונשבע] לזרוזי נפשיה ואם נתחרט אחר שבועה ואינו מגרש אלא מחמתה היה לו לבקש צד להיות נקי משבועתו או לגלות דעתו [או] למסור מודעא בכך ומה שכתב ה"ר פרץ (הו"ד בטור כאן) שצריך שיתירו לו וכו' לפי דעתי לא כתב אלא שצריך כן לכתחלה לעשות גירושין ברורים לא שיהא פוסל הגט בזה בדיעבד וכמו שכתב שם בהלכות ההם דברים הרבה דרך חומרא ולמעשה מובחר וכן נראה מלשונו שכתב כאן כדי שלא יהא דומה לאונס הרי שלא כתב רבינו שיהא זה אונס וזה נראה ברור וכמדומה לי שכך דן הרב ז"ל וכן הסכים עכ"ל: [בדק הבית] וכן כתב בתשובת ה"ר יהודה ן' הרא"ש שכתבתי בתחלת סימן זה (ריש עג.) [עד כאן]:</w:t>
      </w:r>
    </w:p>
    <w:p w14:paraId="7CDA43AC" w14:textId="7A543D8B" w:rsidR="002A1A96" w:rsidRDefault="002A1A96" w:rsidP="002A1A96">
      <w:pPr>
        <w:pStyle w:val="Heading2"/>
      </w:pPr>
      <w:r w:rsidRPr="002A1A96">
        <w:rPr>
          <w:rtl/>
        </w:rPr>
        <w:t>שולחן ערוך אבן העזר הלכות גיטין סימן קלד</w:t>
      </w:r>
      <w:r w:rsidR="005115CE">
        <w:rPr>
          <w:rFonts w:hint="cs"/>
          <w:rtl/>
        </w:rPr>
        <w:t xml:space="preserve"> סעיף ד</w:t>
      </w:r>
    </w:p>
    <w:p w14:paraId="5024EBA4" w14:textId="1A891D59" w:rsidR="002A1A96" w:rsidRDefault="00704C93" w:rsidP="00704C93">
      <w:pPr>
        <w:rPr>
          <w:sz w:val="18"/>
          <w:szCs w:val="18"/>
          <w:rtl/>
        </w:rPr>
      </w:pPr>
      <w:r>
        <w:rPr>
          <w:rtl/>
        </w:rPr>
        <w:t>אם נשבע הבעל ליתן גט</w:t>
      </w:r>
      <w:r>
        <w:rPr>
          <w:rFonts w:hint="cs"/>
          <w:rtl/>
        </w:rPr>
        <w:t>,</w:t>
      </w:r>
      <w:r>
        <w:rPr>
          <w:rtl/>
        </w:rPr>
        <w:t xml:space="preserve"> צריך</w:t>
      </w:r>
      <w:r w:rsidR="002A1A96" w:rsidRPr="002A1A96">
        <w:rPr>
          <w:rtl/>
        </w:rPr>
        <w:t xml:space="preserve"> שיתירו לו קודם, שלא יהא דומה לאונס; אך ערבות יתן, אם ירצה, שאין זה דומה לאונס. </w:t>
      </w:r>
      <w:r w:rsidR="002A1A96" w:rsidRPr="0073111B">
        <w:rPr>
          <w:sz w:val="18"/>
          <w:szCs w:val="18"/>
          <w:rtl/>
        </w:rPr>
        <w:t>הגה: והוא הדין אם קבל קנין לגרש (פסקי מהרא"י סימן קע"ג). אבל אם קבל עליו קנסות אם לא יגרש, לא מקרי אונס, מאחר דתלה גיטו בדבר אחר, ויוכל ליתן הקנסות ולא לגרש (ב"י בשם תשובה וכן הוא במהרי"ק שם בפסקים). ויש מחמירין אפילו בכהאי גוונא (שם בתשובת הרשב"א), וטוב לחוש לכתחלה ולפטרו מן הקנס. אבל אם כבר גירש מפני זה, ואפילו גירש מכח שבועה שעשה מעצמו לגרש, הגט כשר, הואיל ומתחלה לא אנסוהו על כך (תשובת הריטב"א). י"א דלא מקרי אונס אלא מה שאונסין לאדם עצמו, אבל אם אונסין לאחר עד שיגרש חבירו, אפילו אב על בנו או להיפך, לא מקרי אונס (תשובת הרשב"ץ). ויש מחמירין באב על בנו (ב"י). ועיין לקמן סימן קנ"ד מדינים אלו.</w:t>
      </w:r>
    </w:p>
    <w:p w14:paraId="1937938F" w14:textId="03F0E889" w:rsidR="00E04812" w:rsidRDefault="00E04812" w:rsidP="00E04812">
      <w:pPr>
        <w:pStyle w:val="Heading2"/>
        <w:rPr>
          <w:rtl/>
        </w:rPr>
      </w:pPr>
      <w:r w:rsidRPr="00E04812">
        <w:rPr>
          <w:rtl/>
        </w:rPr>
        <w:t>שולחן ערוך אבן העזר הלכות גיטין סימן קנד</w:t>
      </w:r>
      <w:r>
        <w:rPr>
          <w:rFonts w:hint="cs"/>
          <w:rtl/>
        </w:rPr>
        <w:t xml:space="preserve"> סעיף כג</w:t>
      </w:r>
    </w:p>
    <w:p w14:paraId="7DFF7939" w14:textId="62722702" w:rsidR="00A64E7A" w:rsidRPr="00A64E7A" w:rsidRDefault="00A64E7A" w:rsidP="00704C93">
      <w:pPr>
        <w:rPr>
          <w:sz w:val="18"/>
          <w:szCs w:val="18"/>
        </w:rPr>
      </w:pPr>
      <w:r>
        <w:rPr>
          <w:rtl/>
        </w:rPr>
        <w:t>אם נשבע הבעל</w:t>
      </w:r>
      <w:r w:rsidRPr="00A64E7A">
        <w:rPr>
          <w:rtl/>
        </w:rPr>
        <w:t xml:space="preserve"> ליתן גט, טוב שיתירו לו קודם, שלא יהא דומה לאונס; אך ערבון יתן, אם ירצה. </w:t>
      </w:r>
      <w:r w:rsidRPr="00A64E7A">
        <w:rPr>
          <w:sz w:val="18"/>
          <w:szCs w:val="18"/>
          <w:rtl/>
        </w:rPr>
        <w:t>הגה: ועיין לעיל סימן קל"ד סעיף ד'. ובגט מתנכר אין צריכין לשאול אם נשבע או נדר, מאחר דצריך לגרש מדינא, אך שואלין אותו אם מגרש ברצון, וכן שואלין לאשתו.</w:t>
      </w:r>
    </w:p>
    <w:p w14:paraId="442E7C23" w14:textId="37A99281" w:rsidR="000F438F" w:rsidRDefault="000F438F" w:rsidP="000F438F">
      <w:pPr>
        <w:pStyle w:val="Heading2"/>
        <w:rPr>
          <w:rtl/>
        </w:rPr>
      </w:pPr>
      <w:r>
        <w:rPr>
          <w:rFonts w:hint="cs"/>
          <w:rtl/>
        </w:rPr>
        <w:t>שלחן ערוך סדר הגט סעי' יד</w:t>
      </w:r>
    </w:p>
    <w:p w14:paraId="7F661E53" w14:textId="72EA1ACB" w:rsidR="000F438F" w:rsidRDefault="000F438F" w:rsidP="000F438F">
      <w:pPr>
        <w:rPr>
          <w:sz w:val="18"/>
          <w:szCs w:val="18"/>
        </w:rPr>
      </w:pPr>
      <w:r w:rsidRPr="000F438F">
        <w:rPr>
          <w:rtl/>
        </w:rPr>
        <w:t xml:space="preserve">ישאל החכם לבעל המגרש: אתה נותן גט זה מרצונך בלא שום אונס כלום עשית שום איסור או נדר או שבועה שמכריחך ליתנו תאמר לנו ונתיר לך. והבעל המגרש משיב: לא נדרתי ולא נשבעתי ואין לי שום אונס אלא מרצוני אני נותן גט זה בלב שלם בלי שום אונס ותנאי. ואם אומר שנשבע או תקע כף ליתנו, יתירו לו קודם, כדי שלא יהא דומה לאונס; אך ערבון יתן, אם ירצה, שאין זה דומה לאונס </w:t>
      </w:r>
      <w:r w:rsidRPr="000F438F">
        <w:rPr>
          <w:sz w:val="18"/>
          <w:szCs w:val="18"/>
          <w:rtl/>
        </w:rPr>
        <w:t>(ועיין לקמן סימן זה סעיף כ"ג וכ"ד השייכים הנה).</w:t>
      </w:r>
    </w:p>
    <w:p w14:paraId="1A12D0EA" w14:textId="5733BCEF" w:rsidR="00F90263" w:rsidRDefault="00F90263" w:rsidP="00F90263">
      <w:pPr>
        <w:pStyle w:val="Heading1"/>
        <w:rPr>
          <w:rtl/>
        </w:rPr>
      </w:pPr>
      <w:r>
        <w:rPr>
          <w:rFonts w:hint="cs"/>
          <w:rtl/>
        </w:rPr>
        <w:t>שומר פתאים ה' ומניעת הריון</w:t>
      </w:r>
    </w:p>
    <w:p w14:paraId="76E3FFCD" w14:textId="06D075AC" w:rsidR="00F90263" w:rsidRPr="00F90263" w:rsidRDefault="004515B1" w:rsidP="004515B1">
      <w:pPr>
        <w:pStyle w:val="Heading2"/>
        <w:rPr>
          <w:rFonts w:hint="cs"/>
          <w:rtl/>
        </w:rPr>
      </w:pPr>
      <w:hyperlink r:id="rId6" w:history="1">
        <w:r w:rsidRPr="004515B1">
          <w:rPr>
            <w:rStyle w:val="Hyperlink"/>
          </w:rPr>
          <w:t xml:space="preserve">“Halachic Aspects of Family Planning” (RJJ Journal vol. 2 </w:t>
        </w:r>
        <w:proofErr w:type="spellStart"/>
        <w:r w:rsidRPr="004515B1">
          <w:rPr>
            <w:rStyle w:val="Hyperlink"/>
          </w:rPr>
          <w:t>pg</w:t>
        </w:r>
        <w:proofErr w:type="spellEnd"/>
        <w:r w:rsidRPr="004515B1">
          <w:rPr>
            <w:rStyle w:val="Hyperlink"/>
          </w:rPr>
          <w:t xml:space="preserve"> 3)</w:t>
        </w:r>
      </w:hyperlink>
      <w:bookmarkStart w:id="0" w:name="_GoBack"/>
      <w:bookmarkEnd w:id="0"/>
    </w:p>
    <w:sectPr w:rsidR="00F90263" w:rsidRPr="00F902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1EB9C" w14:textId="77777777" w:rsidR="00957DC4" w:rsidRDefault="00957DC4" w:rsidP="008E3BD3">
      <w:r>
        <w:separator/>
      </w:r>
    </w:p>
  </w:endnote>
  <w:endnote w:type="continuationSeparator" w:id="0">
    <w:p w14:paraId="44C96AAA" w14:textId="77777777" w:rsidR="00957DC4" w:rsidRDefault="00957DC4"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CAE7"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2BB41" w14:textId="77777777" w:rsidR="00957DC4" w:rsidRDefault="00957DC4" w:rsidP="008E3BD3">
      <w:r>
        <w:separator/>
      </w:r>
    </w:p>
  </w:footnote>
  <w:footnote w:type="continuationSeparator" w:id="0">
    <w:p w14:paraId="4B94C097" w14:textId="77777777" w:rsidR="00957DC4" w:rsidRDefault="00957DC4" w:rsidP="008E3BD3">
      <w:r>
        <w:continuationSeparator/>
      </w:r>
    </w:p>
  </w:footnote>
  <w:footnote w:id="1">
    <w:p w14:paraId="123B660B" w14:textId="6B7418B5" w:rsidR="00507ADC" w:rsidRDefault="00507ADC">
      <w:pPr>
        <w:pStyle w:val="FootnoteText"/>
      </w:pPr>
      <w:r>
        <w:rPr>
          <w:rStyle w:val="FootnoteReference"/>
        </w:rPr>
        <w:footnoteRef/>
      </w:r>
      <w:r>
        <w:rPr>
          <w:rtl/>
        </w:rPr>
        <w:t xml:space="preserve"> </w:t>
      </w:r>
      <w:r>
        <w:rPr>
          <w:rFonts w:hint="cs"/>
          <w:rtl/>
        </w:rPr>
        <w:t>ע"ע ב</w:t>
      </w:r>
      <w:r w:rsidRPr="00507ADC">
        <w:rPr>
          <w:rtl/>
        </w:rPr>
        <w:t>שו"ת יחוה דעת ח"ב סימן ו</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48CF" w14:textId="77777777" w:rsidR="008E3BD3" w:rsidRDefault="00A6021F" w:rsidP="00224F18">
    <w:pPr>
      <w:jc w:val="center"/>
    </w:pPr>
    <w:r w:rsidRPr="008E3BD3">
      <w:rPr>
        <w:rtl/>
      </w:rPr>
      <w:t>הרב צבי שכטר</w:t>
    </w:r>
    <w:r>
      <w:tab/>
    </w:r>
    <w:r w:rsidR="00DF5C70">
      <w:rPr>
        <w:rtl/>
      </w:rPr>
      <w:tab/>
    </w:r>
    <w:r>
      <w:tab/>
    </w:r>
    <w:r w:rsidR="00DF5C70">
      <w:rPr>
        <w:rtl/>
      </w:rPr>
      <w:tab/>
    </w:r>
    <w:r w:rsidR="00224F18" w:rsidRPr="00224F18">
      <w:rPr>
        <w:rtl/>
      </w:rPr>
      <w:t xml:space="preserve">   ‏ו' אדר ב תשע"ו</w:t>
    </w:r>
    <w:r w:rsidR="00224F18" w:rsidRPr="00224F18">
      <w:rPr>
        <w:rtl/>
      </w:rPr>
      <w:tab/>
    </w:r>
    <w:r w:rsidR="00DF5C70">
      <w:rPr>
        <w:rtl/>
      </w:rPr>
      <w:tab/>
    </w:r>
    <w:r w:rsidR="00224F18">
      <w:rPr>
        <w:rtl/>
      </w:rPr>
      <w:tab/>
    </w:r>
    <w:r>
      <w:rPr>
        <w:rFonts w:hint="cs"/>
        <w:rtl/>
      </w:rPr>
      <w:t xml:space="preserve"> ש</w:t>
    </w:r>
    <w:r w:rsidRPr="008E3BD3">
      <w:rPr>
        <w:rtl/>
      </w:rPr>
      <w:t xml:space="preserve">יעור </w:t>
    </w:r>
    <w:r w:rsidR="00224F18">
      <w:rPr>
        <w:rFonts w:hint="cs"/>
        <w:rtl/>
      </w:rPr>
      <w:t>פ"ד</w:t>
    </w:r>
    <w:r w:rsidRPr="008E3BD3">
      <w:rPr>
        <w:rtl/>
      </w:rPr>
      <w:t xml:space="preserve"> - מס' סנהדרין </w:t>
    </w:r>
    <w:r w:rsidR="00224F18">
      <w:rPr>
        <w:rFonts w:hint="cs"/>
        <w:rtl/>
      </w:rPr>
      <w:t>כז</w:t>
    </w:r>
    <w:r w:rsidRPr="008E3BD3">
      <w:rPr>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18"/>
    <w:rsid w:val="00031D7A"/>
    <w:rsid w:val="000F438F"/>
    <w:rsid w:val="00111610"/>
    <w:rsid w:val="00125C0B"/>
    <w:rsid w:val="00224F18"/>
    <w:rsid w:val="002A1A96"/>
    <w:rsid w:val="002C30E0"/>
    <w:rsid w:val="003C2155"/>
    <w:rsid w:val="004515B1"/>
    <w:rsid w:val="004722B8"/>
    <w:rsid w:val="00507ADC"/>
    <w:rsid w:val="005115CE"/>
    <w:rsid w:val="00647FDE"/>
    <w:rsid w:val="00704C93"/>
    <w:rsid w:val="0073111B"/>
    <w:rsid w:val="00741560"/>
    <w:rsid w:val="00764C0B"/>
    <w:rsid w:val="007A4624"/>
    <w:rsid w:val="007E765E"/>
    <w:rsid w:val="00823A6F"/>
    <w:rsid w:val="008E3BD3"/>
    <w:rsid w:val="00957DC4"/>
    <w:rsid w:val="00A6021F"/>
    <w:rsid w:val="00A64E7A"/>
    <w:rsid w:val="00AF6701"/>
    <w:rsid w:val="00BC2476"/>
    <w:rsid w:val="00C402D8"/>
    <w:rsid w:val="00C8755C"/>
    <w:rsid w:val="00D10206"/>
    <w:rsid w:val="00D11FFC"/>
    <w:rsid w:val="00D40A1F"/>
    <w:rsid w:val="00D60052"/>
    <w:rsid w:val="00D776CD"/>
    <w:rsid w:val="00DB030B"/>
    <w:rsid w:val="00DF5C70"/>
    <w:rsid w:val="00E04812"/>
    <w:rsid w:val="00E70B40"/>
    <w:rsid w:val="00ED5AB6"/>
    <w:rsid w:val="00F06591"/>
    <w:rsid w:val="00F06814"/>
    <w:rsid w:val="00F902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D4F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paragraph" w:styleId="FootnoteText">
    <w:name w:val="footnote text"/>
    <w:basedOn w:val="Normal"/>
    <w:link w:val="FootnoteTextChar"/>
    <w:uiPriority w:val="99"/>
    <w:semiHidden/>
    <w:unhideWhenUsed/>
    <w:rsid w:val="00507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ADC"/>
    <w:rPr>
      <w:rFonts w:ascii="Narkisim" w:hAnsi="Narkisim" w:cs="Narkisim"/>
      <w:sz w:val="20"/>
      <w:szCs w:val="20"/>
    </w:rPr>
  </w:style>
  <w:style w:type="character" w:styleId="FootnoteReference">
    <w:name w:val="footnote reference"/>
    <w:basedOn w:val="DefaultParagraphFont"/>
    <w:uiPriority w:val="99"/>
    <w:semiHidden/>
    <w:unhideWhenUsed/>
    <w:rsid w:val="00507ADC"/>
    <w:rPr>
      <w:vertAlign w:val="superscript"/>
    </w:rPr>
  </w:style>
  <w:style w:type="character" w:styleId="Hyperlink">
    <w:name w:val="Hyperlink"/>
    <w:basedOn w:val="DefaultParagraphFont"/>
    <w:uiPriority w:val="99"/>
    <w:unhideWhenUsed/>
    <w:rsid w:val="004515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5474">
      <w:bodyDiv w:val="1"/>
      <w:marLeft w:val="0"/>
      <w:marRight w:val="0"/>
      <w:marTop w:val="0"/>
      <w:marBottom w:val="0"/>
      <w:divBdr>
        <w:top w:val="none" w:sz="0" w:space="0" w:color="auto"/>
        <w:left w:val="none" w:sz="0" w:space="0" w:color="auto"/>
        <w:bottom w:val="none" w:sz="0" w:space="0" w:color="auto"/>
        <w:right w:val="none" w:sz="0" w:space="0" w:color="auto"/>
      </w:divBdr>
      <w:divsChild>
        <w:div w:id="1244754578">
          <w:marLeft w:val="0"/>
          <w:marRight w:val="0"/>
          <w:marTop w:val="0"/>
          <w:marBottom w:val="0"/>
          <w:divBdr>
            <w:top w:val="single" w:sz="6" w:space="0" w:color="CECEC6"/>
            <w:left w:val="none" w:sz="0" w:space="0" w:color="auto"/>
            <w:bottom w:val="none" w:sz="0" w:space="0" w:color="auto"/>
            <w:right w:val="none" w:sz="0" w:space="0" w:color="auto"/>
          </w:divBdr>
        </w:div>
      </w:divsChild>
    </w:div>
    <w:div w:id="499582554">
      <w:bodyDiv w:val="1"/>
      <w:marLeft w:val="0"/>
      <w:marRight w:val="0"/>
      <w:marTop w:val="0"/>
      <w:marBottom w:val="0"/>
      <w:divBdr>
        <w:top w:val="none" w:sz="0" w:space="0" w:color="auto"/>
        <w:left w:val="none" w:sz="0" w:space="0" w:color="auto"/>
        <w:bottom w:val="none" w:sz="0" w:space="0" w:color="auto"/>
        <w:right w:val="none" w:sz="0" w:space="0" w:color="auto"/>
      </w:divBdr>
      <w:divsChild>
        <w:div w:id="411703250">
          <w:marLeft w:val="0"/>
          <w:marRight w:val="0"/>
          <w:marTop w:val="0"/>
          <w:marBottom w:val="0"/>
          <w:divBdr>
            <w:top w:val="single" w:sz="6" w:space="0" w:color="CECEC6"/>
            <w:left w:val="none" w:sz="0" w:space="0" w:color="auto"/>
            <w:bottom w:val="none" w:sz="0" w:space="0" w:color="auto"/>
            <w:right w:val="none" w:sz="0" w:space="0" w:color="auto"/>
          </w:divBdr>
        </w:div>
      </w:divsChild>
    </w:div>
    <w:div w:id="502360164">
      <w:bodyDiv w:val="1"/>
      <w:marLeft w:val="0"/>
      <w:marRight w:val="0"/>
      <w:marTop w:val="0"/>
      <w:marBottom w:val="0"/>
      <w:divBdr>
        <w:top w:val="none" w:sz="0" w:space="0" w:color="auto"/>
        <w:left w:val="none" w:sz="0" w:space="0" w:color="auto"/>
        <w:bottom w:val="none" w:sz="0" w:space="0" w:color="auto"/>
        <w:right w:val="none" w:sz="0" w:space="0" w:color="auto"/>
      </w:divBdr>
      <w:divsChild>
        <w:div w:id="106853065">
          <w:marLeft w:val="0"/>
          <w:marRight w:val="0"/>
          <w:marTop w:val="0"/>
          <w:marBottom w:val="0"/>
          <w:divBdr>
            <w:top w:val="single" w:sz="6" w:space="0" w:color="CECEC6"/>
            <w:left w:val="none" w:sz="0" w:space="0" w:color="auto"/>
            <w:bottom w:val="none" w:sz="0" w:space="0" w:color="auto"/>
            <w:right w:val="none" w:sz="0" w:space="0" w:color="auto"/>
          </w:divBdr>
        </w:div>
      </w:divsChild>
    </w:div>
    <w:div w:id="1596792520">
      <w:bodyDiv w:val="1"/>
      <w:marLeft w:val="0"/>
      <w:marRight w:val="0"/>
      <w:marTop w:val="0"/>
      <w:marBottom w:val="0"/>
      <w:divBdr>
        <w:top w:val="none" w:sz="0" w:space="0" w:color="auto"/>
        <w:left w:val="none" w:sz="0" w:space="0" w:color="auto"/>
        <w:bottom w:val="none" w:sz="0" w:space="0" w:color="auto"/>
        <w:right w:val="none" w:sz="0" w:space="0" w:color="auto"/>
      </w:divBdr>
      <w:divsChild>
        <w:div w:id="1976329859">
          <w:marLeft w:val="0"/>
          <w:marRight w:val="0"/>
          <w:marTop w:val="0"/>
          <w:marBottom w:val="0"/>
          <w:divBdr>
            <w:top w:val="single" w:sz="6" w:space="0" w:color="CECEC6"/>
            <w:left w:val="none" w:sz="0" w:space="0" w:color="auto"/>
            <w:bottom w:val="none" w:sz="0" w:space="0" w:color="auto"/>
            <w:right w:val="none" w:sz="0" w:space="0" w:color="auto"/>
          </w:divBdr>
        </w:div>
      </w:divsChild>
    </w:div>
    <w:div w:id="2043701142">
      <w:bodyDiv w:val="1"/>
      <w:marLeft w:val="0"/>
      <w:marRight w:val="0"/>
      <w:marTop w:val="0"/>
      <w:marBottom w:val="0"/>
      <w:divBdr>
        <w:top w:val="none" w:sz="0" w:space="0" w:color="auto"/>
        <w:left w:val="none" w:sz="0" w:space="0" w:color="auto"/>
        <w:bottom w:val="none" w:sz="0" w:space="0" w:color="auto"/>
        <w:right w:val="none" w:sz="0" w:space="0" w:color="auto"/>
      </w:divBdr>
      <w:divsChild>
        <w:div w:id="250166389">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utorah.org/lectures/lecture.cfm/735664/rabbi-hershel-schachter/halachic-aspects-of-family-plann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2016-03-16T17:22:00Z</dcterms:created>
  <dcterms:modified xsi:type="dcterms:W3CDTF">2016-03-20T03:05:00Z</dcterms:modified>
</cp:coreProperties>
</file>