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C05AF" w14:textId="77777777" w:rsidR="008E3BD3" w:rsidRPr="00DD45EB" w:rsidRDefault="008E3BD3" w:rsidP="008E3BD3">
      <w:pPr>
        <w:pStyle w:val="Title"/>
        <w:bidi/>
        <w:rPr>
          <w:sz w:val="72"/>
          <w:szCs w:val="72"/>
          <w:rtl/>
        </w:rPr>
      </w:pPr>
      <w:r w:rsidRPr="00DD45EB">
        <w:rPr>
          <w:rFonts w:hint="cs"/>
          <w:sz w:val="72"/>
          <w:szCs w:val="72"/>
          <w:rtl/>
        </w:rPr>
        <w:t xml:space="preserve">עזר לצבי </w:t>
      </w:r>
    </w:p>
    <w:p w14:paraId="41B2E7DC" w14:textId="490A8290" w:rsidR="008E3BD3" w:rsidRPr="008E3BD3" w:rsidRDefault="00FE5B32" w:rsidP="008E3BD3">
      <w:pPr>
        <w:pStyle w:val="Subtitle"/>
      </w:pPr>
      <w:r>
        <w:rPr>
          <w:rFonts w:hint="cs"/>
          <w:rtl/>
        </w:rPr>
        <w:t>פסולי עדות מדרבנן, אסמכתא ג'</w:t>
      </w:r>
    </w:p>
    <w:p w14:paraId="0775C23C" w14:textId="46A9DDF6" w:rsidR="008E3BD3" w:rsidRDefault="00DD45EB" w:rsidP="008E3BD3">
      <w:pPr>
        <w:pStyle w:val="Heading1"/>
      </w:pPr>
      <w:r>
        <w:rPr>
          <w:rFonts w:hint="cs"/>
          <w:rtl/>
        </w:rPr>
        <w:t>פסולי עדות מדרבנן</w:t>
      </w:r>
    </w:p>
    <w:p w14:paraId="4BA92D12" w14:textId="41A8658D" w:rsidR="008E3BD3" w:rsidRDefault="00DD45EB" w:rsidP="00DD45EB">
      <w:pPr>
        <w:pStyle w:val="Heading2"/>
        <w:tabs>
          <w:tab w:val="left" w:pos="2075"/>
        </w:tabs>
      </w:pPr>
      <w:r>
        <w:rPr>
          <w:rFonts w:hint="cs"/>
          <w:rtl/>
        </w:rPr>
        <w:t>תוספות כד: ד"ה</w:t>
      </w:r>
      <w:r>
        <w:rPr>
          <w:rtl/>
        </w:rPr>
        <w:tab/>
      </w:r>
    </w:p>
    <w:p w14:paraId="7A322BFE" w14:textId="2DA07D9B" w:rsidR="003C710B" w:rsidRDefault="003C710B" w:rsidP="003C710B">
      <w:pPr>
        <w:pStyle w:val="Heading1"/>
      </w:pPr>
      <w:r>
        <w:rPr>
          <w:rFonts w:hint="cs"/>
          <w:rtl/>
        </w:rPr>
        <w:t>גליא מסכת</w:t>
      </w:r>
    </w:p>
    <w:p w14:paraId="3674A6B0" w14:textId="32E444DA" w:rsidR="00C371CF" w:rsidRDefault="00C371CF" w:rsidP="00C371CF">
      <w:pPr>
        <w:pStyle w:val="Heading2"/>
      </w:pPr>
      <w:r>
        <w:rPr>
          <w:rFonts w:hint="cs"/>
          <w:rtl/>
        </w:rPr>
        <w:t>עירובין נג.</w:t>
      </w:r>
    </w:p>
    <w:p w14:paraId="06D0AF55" w14:textId="51368586" w:rsidR="00C371CF" w:rsidRDefault="00ED3CB1" w:rsidP="00102150">
      <w:r w:rsidRPr="00ED3CB1">
        <w:rPr>
          <w:rtl/>
        </w:rPr>
        <w:t>רבינא אמר: בני יהודה דגלו מסכתא - נתקיימה תורתן בידם, בני גליל דלא גלו מסכתא - לא נתקיימה תורתן בידם. דוד גלי מסכתא, שאול לא גלי מסכתא. דוד דגלי מסכתא כתיב ביה ויראיך יראוני וישמחו, שאול דלא גלי מסכתא כתיב ביה ז(אל כל) +מסורת הש"ס: [ובכל]+ אשר יפנה</w:t>
      </w:r>
      <w:r>
        <w:rPr>
          <w:rFonts w:hint="cs"/>
          <w:rtl/>
        </w:rPr>
        <w:t xml:space="preserve"> </w:t>
      </w:r>
      <w:r w:rsidRPr="00ED3CB1">
        <w:rPr>
          <w:rtl/>
        </w:rPr>
        <w:t>ירשיע. ואמר רבי יוחנן: מנין שמחל לו הקדוש ברוך הוא על אותו עון - שנאמר: אמחר אתה ובניך עמי - עמי במחיצתי.</w:t>
      </w:r>
    </w:p>
    <w:p w14:paraId="33AD57CC" w14:textId="764BF1B3" w:rsidR="003C710B" w:rsidRDefault="003C710B" w:rsidP="003C710B">
      <w:pPr>
        <w:pStyle w:val="Heading1"/>
        <w:rPr>
          <w:rtl/>
        </w:rPr>
      </w:pPr>
      <w:r>
        <w:rPr>
          <w:rFonts w:hint="cs"/>
          <w:rtl/>
        </w:rPr>
        <w:t xml:space="preserve">אסמכתא </w:t>
      </w:r>
      <w:r w:rsidRPr="003C710B">
        <w:rPr>
          <w:rFonts w:hint="cs"/>
          <w:sz w:val="18"/>
          <w:szCs w:val="18"/>
          <w:rtl/>
        </w:rPr>
        <w:t>(המשך)</w:t>
      </w:r>
    </w:p>
    <w:p w14:paraId="0177B9F7" w14:textId="3623C3EA" w:rsidR="003C710B" w:rsidRDefault="003C710B" w:rsidP="003C710B">
      <w:pPr>
        <w:pStyle w:val="Heading2"/>
        <w:rPr>
          <w:rtl/>
        </w:rPr>
      </w:pPr>
      <w:r>
        <w:rPr>
          <w:rFonts w:hint="cs"/>
          <w:rtl/>
        </w:rPr>
        <w:t>בבא בתרא קסח.</w:t>
      </w:r>
    </w:p>
    <w:p w14:paraId="151FA65A" w14:textId="023A7697" w:rsidR="004A4414" w:rsidRDefault="004A4414" w:rsidP="004A4414">
      <w:pPr>
        <w:pStyle w:val="Heading2"/>
        <w:rPr>
          <w:rtl/>
        </w:rPr>
      </w:pPr>
      <w:r>
        <w:rPr>
          <w:rFonts w:hint="cs"/>
          <w:rtl/>
        </w:rPr>
        <w:t>נדרים כז.</w:t>
      </w:r>
    </w:p>
    <w:p w14:paraId="3275ED6D" w14:textId="77777777" w:rsidR="004A4414" w:rsidRDefault="004A4414" w:rsidP="004A4414">
      <w:pPr>
        <w:rPr>
          <w:rtl/>
        </w:rPr>
      </w:pPr>
      <w:r>
        <w:rPr>
          <w:rtl/>
        </w:rPr>
        <w:t xml:space="preserve">מתני'. נדרי אונסין: הדירו חבירו שיאכל אצלו, וחלה הוא או שחלה בנו, או שעכבו נהר - הרי אלו נדרי אונסין.  </w:t>
      </w:r>
    </w:p>
    <w:p w14:paraId="318D9F85" w14:textId="77777777" w:rsidR="00103F07" w:rsidRDefault="004A4414" w:rsidP="004A4414">
      <w:pPr>
        <w:rPr>
          <w:rtl/>
        </w:rPr>
      </w:pPr>
      <w:r>
        <w:rPr>
          <w:rtl/>
        </w:rPr>
        <w:t xml:space="preserve">  גמ'. ההוא גברא דאתפיס זכוותא בבי דינא, ואמר: אי לא אתינא עד תלתין יומין ליבטלון הני זכוותאי, איתניס ולא אתא, אמר רב הונא: בטיל זכוותיה. אמר ליה רבא: אנוס הוא, ואנוס רחמנא פטריה, דכתיב: אולנערה לא תעשה דבר! וכי תימא קטלא שאני, והתנן, נדרי אונסין: הדירו חבירו שיאכל אצלו, וחלה הוא או שחלה בנו, או שעיכבו נהר - הרי אלו נדרי אונסין. ולרבא, מאי שנא מהא דתנן: ה"ז גיטיך מעכשיו אם לא באתי מכאן עד י"ב חדש, ומת בתוך י"ב חדש - הרי זה גט, אמאי? והא מינס איתניס! אמרי: דלמא שאני התם,</w:t>
      </w:r>
      <w:r w:rsidRPr="004A4414">
        <w:rPr>
          <w:rtl/>
        </w:rPr>
        <w:t xml:space="preserve">דאי הוה ידע דמית, מן לאלתר הוה גמר ויהיב גיטא. מ"ש מההוא דאמר להו: אי לא אתינא מכאן עד תלתין יומין ליהוי גיטא, אתא ופסקיה מעברא, אמר להו: חזו דאתאי, חזו דאתאי, ואמר שמואל: לא שמיה מתייא, אמאי? והא מינס אניס! דלמא אונסא דמיגליא שאני, ומעברא מיגלי אונסיה. </w:t>
      </w:r>
    </w:p>
    <w:p w14:paraId="17E427E2" w14:textId="2EB6B013" w:rsidR="004A4414" w:rsidRPr="004A4414" w:rsidRDefault="004A4414" w:rsidP="004A4414">
      <w:r w:rsidRPr="004A4414">
        <w:rPr>
          <w:rtl/>
        </w:rPr>
        <w:t>ולרב הונא, מכדי אסמכתא היא, ואסמכתא לא קניא! שאני הכא, דמיתפסן זכותן. והיכא דמיתפסין לאו אסמכתא היא? והתנן: מי שפרע מקצת חובו, והשליש את שטרו ואמר אם אין אני נותן לו מכאן עד ל' יום תן לו שטרו, הגיע זמן ולא נתן, רבי יוסי אומר: יתן, ור' יהודה אומר: לא יתן; ואמר רב נחמן אמר רבה בר אבוה אמר רב: אין הלכה כר' יוסי, דאמר אסמכתא קניא! שאני הכא, דאמר לבטלן זכותיה. והלכתא: אסמכתא קניא; והוא דלא אניס, והוא דקנו מיניה בב"ד חשוב.</w:t>
      </w:r>
    </w:p>
    <w:p w14:paraId="3BB6792A" w14:textId="66F9832B" w:rsidR="00347AC0" w:rsidRDefault="00347AC0" w:rsidP="00347AC0">
      <w:pPr>
        <w:pStyle w:val="Heading2"/>
        <w:rPr>
          <w:rtl/>
        </w:rPr>
      </w:pPr>
      <w:r>
        <w:rPr>
          <w:rFonts w:hint="cs"/>
          <w:rtl/>
        </w:rPr>
        <w:t xml:space="preserve">תוספות נדרים כז: ד"ה </w:t>
      </w:r>
      <w:r w:rsidRPr="00347AC0">
        <w:rPr>
          <w:rtl/>
        </w:rPr>
        <w:t>והלכתא אסמכתא קניא וכו'</w:t>
      </w:r>
    </w:p>
    <w:p w14:paraId="5934486D" w14:textId="77777777" w:rsidR="00E611CD" w:rsidRDefault="00347AC0" w:rsidP="00E611CD">
      <w:pPr>
        <w:rPr>
          <w:rtl/>
        </w:rPr>
      </w:pPr>
      <w:r w:rsidRPr="00347AC0">
        <w:rPr>
          <w:rtl/>
        </w:rPr>
        <w:t>לכאורה דאמר בלא מעכשיו דאילו אמר מעכשיו מועיל שפיר בלא קנין בב"ד חשוב כדמוכח פר' איזהו נשך (ב"מ דף סו.) ומיהו אור"י דע"כ הכא מיירי דאמר מעכשיו מדאמר דקנו מיניה וסתם קנין בסודר וקנין סודר בלא מעכשיו אינו מועיל כלום כדאמר לקמן פרק השותפין (דף מח:) דהא הדר סודרא למרא פירוש כשחל הקנין אינו מועיל כלום כגון אם אמר לאחר ל' יום א"כ אין הקנין עד לאחר ל' יום וכבר הדרא סודרא למריה וא"כ ע"כ מיירי הכא דאמר מעכשיו ואפ"ה קאמר דדוקא בב"ד חשוב קנו מיניה אבל בלא קנין בב"ד חשוב לא מועיל מעכשיו בלא אסמכתא והא דמשמע באיזהו נשך דמעכשיו מועיל בלא ב"ד חשוב י"ל דאסמכתא דהתם שאני לפי שהוא דרך מכר דמיירי שהלוהו על שדהו ואמר ליה אם אין אתה נותן לי מכאן ועד שלש שנים הרי הוא שלי</w:t>
      </w:r>
    </w:p>
    <w:p w14:paraId="30E25796" w14:textId="7E4932F1" w:rsidR="00347AC0" w:rsidRPr="00347AC0" w:rsidRDefault="00347AC0" w:rsidP="00E611CD">
      <w:pPr>
        <w:rPr>
          <w:rtl/>
        </w:rPr>
      </w:pPr>
      <w:r w:rsidRPr="00347AC0">
        <w:rPr>
          <w:rtl/>
        </w:rPr>
        <w:t>אור"ת שלכך נהגו לאסוף כל בני העיר בשעת שידוכין היינו כי היכי דליהוו ב"ד חשוב ולא יהא ערבון אסמכתא ואין נראה לר"י שהרי כמה פעמים אין שם אלא קרובים וגם אין מתקיים לשום קיום תנאי לכ"נ דלענין ערבון של שידוכין נראה דהכי הוא דקני שפיר בלא מעכשיו וגם בלא קנין ב"ד חשוב דלפי שמתבייש ביותר מי שחוזר בו לא חשוב אסמכתא כלל דלאו גוזמא הוא מה שמתנה עמו בערבון אם יחזור בו דדמי בושתו הוא ולא גזרינן כמו אם אוביר ולא איעביד אשלם במיטבא.</w:t>
      </w:r>
    </w:p>
    <w:p w14:paraId="1EEE8340" w14:textId="4191619D" w:rsidR="00401C3D" w:rsidRDefault="00401C3D" w:rsidP="00401C3D">
      <w:pPr>
        <w:pStyle w:val="Heading1"/>
        <w:rPr>
          <w:rtl/>
        </w:rPr>
      </w:pPr>
      <w:r>
        <w:rPr>
          <w:rFonts w:hint="cs"/>
          <w:rtl/>
        </w:rPr>
        <w:lastRenderedPageBreak/>
        <w:t>גרמא וגרמי</w:t>
      </w:r>
    </w:p>
    <w:p w14:paraId="4D83E50F" w14:textId="587994CE" w:rsidR="006B791E" w:rsidRDefault="00BF09A2" w:rsidP="006B791E">
      <w:pPr>
        <w:rPr>
          <w:rtl/>
        </w:rPr>
      </w:pPr>
      <w:r>
        <w:rPr>
          <w:rFonts w:hint="cs"/>
          <w:rtl/>
        </w:rPr>
        <w:t xml:space="preserve">ע' במקורות לשיעורים </w:t>
      </w:r>
      <w:hyperlink r:id="rId6" w:history="1">
        <w:r w:rsidRPr="006B791E">
          <w:rPr>
            <w:rStyle w:val="Hyperlink"/>
            <w:rFonts w:hint="cs"/>
            <w:rtl/>
          </w:rPr>
          <w:t>ג'</w:t>
        </w:r>
      </w:hyperlink>
      <w:r>
        <w:rPr>
          <w:rFonts w:hint="cs"/>
          <w:rtl/>
        </w:rPr>
        <w:t xml:space="preserve"> ו</w:t>
      </w:r>
      <w:hyperlink r:id="rId7" w:history="1">
        <w:r w:rsidRPr="006B791E">
          <w:rPr>
            <w:rStyle w:val="Hyperlink"/>
            <w:rFonts w:hint="cs"/>
            <w:rtl/>
          </w:rPr>
          <w:t>כ"ג</w:t>
        </w:r>
      </w:hyperlink>
    </w:p>
    <w:p w14:paraId="4B4E7C60" w14:textId="278FB3A9" w:rsidR="00347AC0" w:rsidRDefault="00CA0BD3" w:rsidP="006B791E">
      <w:hyperlink r:id="rId8" w:history="1">
        <w:r w:rsidRPr="00CA0BD3">
          <w:rPr>
            <w:rStyle w:val="Hyperlink"/>
            <w:rFonts w:hint="cs"/>
            <w:rtl/>
          </w:rPr>
          <w:t>שיעורי הרב אהרן ליכטנשטיין: דינא דגרמי</w:t>
        </w:r>
      </w:hyperlink>
    </w:p>
    <w:p w14:paraId="4EEC1E47" w14:textId="0ABF1526" w:rsidR="00A130B1" w:rsidRDefault="00A130B1" w:rsidP="00A130B1">
      <w:pPr>
        <w:pStyle w:val="Heading1"/>
        <w:rPr>
          <w:rtl/>
        </w:rPr>
      </w:pPr>
      <w:r>
        <w:rPr>
          <w:rFonts w:hint="cs"/>
          <w:rtl/>
        </w:rPr>
        <w:t>קוביא בשבת</w:t>
      </w:r>
    </w:p>
    <w:p w14:paraId="5F9B1125" w14:textId="54AAF207" w:rsidR="00A130B1" w:rsidRDefault="005D2EFF" w:rsidP="005D2EFF">
      <w:pPr>
        <w:pStyle w:val="Heading2"/>
        <w:rPr>
          <w:rtl/>
        </w:rPr>
      </w:pPr>
      <w:r>
        <w:rPr>
          <w:rFonts w:hint="cs"/>
          <w:rtl/>
        </w:rPr>
        <w:t>שבת קמח:</w:t>
      </w:r>
    </w:p>
    <w:p w14:paraId="3D13E3DD" w14:textId="40569443" w:rsidR="005D2EFF" w:rsidRDefault="005D2EFF" w:rsidP="005D2EFF">
      <w:pPr>
        <w:rPr>
          <w:rtl/>
        </w:rPr>
      </w:pPr>
      <w:r w:rsidRPr="005D2EFF">
        <w:rPr>
          <w:rtl/>
        </w:rPr>
        <w:t>משנה. מונה אדם את אורחיו ואת פרפרותיו מפיו, אבל לא מן הכתב. מפיס אדם עם בניו ועם בני ביתו על השולחן, ובלבד שלא יתכוין לעשות מנה גדולה כנגד מנה קטנה. ומטילין חלשין על הקדשים ביום טוב, אבל לא על המנות.</w:t>
      </w:r>
    </w:p>
    <w:p w14:paraId="5482A27C" w14:textId="3174E406" w:rsidR="0043747D" w:rsidRDefault="0043747D" w:rsidP="0043747D">
      <w:pPr>
        <w:pStyle w:val="Heading2"/>
      </w:pPr>
      <w:r>
        <w:rPr>
          <w:rFonts w:hint="cs"/>
          <w:rtl/>
        </w:rPr>
        <w:t>עירובין קג.</w:t>
      </w:r>
    </w:p>
    <w:p w14:paraId="6C5C79F1" w14:textId="62D0D747" w:rsidR="003E13A2" w:rsidRDefault="003E13A2" w:rsidP="003E13A2">
      <w:pPr>
        <w:pStyle w:val="Heading2"/>
        <w:rPr>
          <w:rtl/>
        </w:rPr>
      </w:pPr>
      <w:r>
        <w:rPr>
          <w:rFonts w:hint="cs"/>
          <w:rtl/>
        </w:rPr>
        <w:t>שלטי הגיבורים עירובין לה:</w:t>
      </w:r>
    </w:p>
    <w:p w14:paraId="00DFB81B" w14:textId="5D2443D3" w:rsidR="00473A7A" w:rsidRDefault="00473A7A" w:rsidP="00473A7A">
      <w:pPr>
        <w:pStyle w:val="Heading2"/>
        <w:rPr>
          <w:rtl/>
        </w:rPr>
      </w:pPr>
      <w:r>
        <w:rPr>
          <w:rFonts w:hint="cs"/>
          <w:rtl/>
        </w:rPr>
        <w:t>שלחן ערוך אורח חיים שלח:ה</w:t>
      </w:r>
    </w:p>
    <w:p w14:paraId="534ACE4B" w14:textId="794655D1" w:rsidR="00473A7A" w:rsidRPr="004F4D2B" w:rsidRDefault="00473A7A" w:rsidP="00703F68">
      <w:pPr>
        <w:rPr>
          <w:sz w:val="18"/>
          <w:szCs w:val="18"/>
        </w:rPr>
      </w:pPr>
      <w:r w:rsidRPr="00473A7A">
        <w:rPr>
          <w:rtl/>
        </w:rPr>
        <w:t>אין שוחקים באגוזים, ו</w:t>
      </w:r>
      <w:r>
        <w:rPr>
          <w:rtl/>
        </w:rPr>
        <w:t xml:space="preserve">לא בתפוחים וכיוצא בהן, משום </w:t>
      </w:r>
      <w:r w:rsidRPr="00473A7A">
        <w:rPr>
          <w:rtl/>
        </w:rPr>
        <w:t xml:space="preserve"> אשווי גומות.</w:t>
      </w:r>
      <w:r w:rsidR="004F4D2B">
        <w:rPr>
          <w:rtl/>
        </w:rPr>
        <w:t xml:space="preserve"> </w:t>
      </w:r>
      <w:r w:rsidR="004F4D2B" w:rsidRPr="004F4D2B">
        <w:rPr>
          <w:sz w:val="18"/>
          <w:szCs w:val="18"/>
          <w:rtl/>
        </w:rPr>
        <w:t>הגה: ודוקא על גבי קרקע, אבל</w:t>
      </w:r>
      <w:r w:rsidRPr="004F4D2B">
        <w:rPr>
          <w:sz w:val="18"/>
          <w:szCs w:val="18"/>
          <w:rtl/>
        </w:rPr>
        <w:t xml:space="preserve"> על גבי שלחן שרי דליכא למגזר שם משום גומות (רבינו ירוחם ח"ז). ומותר לשחוק בעצמות שקורין טשי"ך, אע"פ שמשמיעים קול, הואיל ואינן מכוונין לשיר (הגהות אלפסי סוף עירובין). וכל זה בשוחק דרך צ</w:t>
      </w:r>
      <w:bookmarkStart w:id="0" w:name="_GoBack"/>
      <w:bookmarkEnd w:id="0"/>
      <w:r w:rsidRPr="004F4D2B">
        <w:rPr>
          <w:sz w:val="18"/>
          <w:szCs w:val="18"/>
          <w:rtl/>
        </w:rPr>
        <w:t>חוק בעלמא (ב"י), אבל בשוחק כד</w:t>
      </w:r>
      <w:r w:rsidR="004F4D2B" w:rsidRPr="004F4D2B">
        <w:rPr>
          <w:sz w:val="18"/>
          <w:szCs w:val="18"/>
          <w:rtl/>
        </w:rPr>
        <w:t>י להרויח, אסור, אפי' שוחק</w:t>
      </w:r>
      <w:r w:rsidRPr="004F4D2B">
        <w:rPr>
          <w:sz w:val="18"/>
          <w:szCs w:val="18"/>
          <w:rtl/>
        </w:rPr>
        <w:t xml:space="preserve"> בתם ובחסר, דהוי כמקח וממכר (אגור ורמב"ם פכ"ג). ומ"מ אין למחות בנשים וקטנים, דמוטב שיהיו שוגגין ואל יהיו מזידין (תוס' וסמ"ג והגהות מיימוני פכ"א). ולשחוק בכדור, ע"ל סי' ש"ח סעיף מ"ה.</w:t>
      </w:r>
    </w:p>
    <w:sectPr w:rsidR="00473A7A" w:rsidRPr="004F4D2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219D" w14:textId="77777777" w:rsidR="000A0499" w:rsidRDefault="000A0499" w:rsidP="008E3BD3">
      <w:r>
        <w:separator/>
      </w:r>
    </w:p>
  </w:endnote>
  <w:endnote w:type="continuationSeparator" w:id="0">
    <w:p w14:paraId="21C465FD" w14:textId="77777777" w:rsidR="000A0499" w:rsidRDefault="000A0499"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4E7B3" w14:textId="77777777" w:rsidR="00A6021F" w:rsidRDefault="00A6021F">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3144" w14:textId="77777777" w:rsidR="000A0499" w:rsidRDefault="000A0499" w:rsidP="008E3BD3">
      <w:r>
        <w:separator/>
      </w:r>
    </w:p>
  </w:footnote>
  <w:footnote w:type="continuationSeparator" w:id="0">
    <w:p w14:paraId="19E18616" w14:textId="77777777" w:rsidR="000A0499" w:rsidRDefault="000A0499" w:rsidP="008E3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75E0" w14:textId="44900075" w:rsidR="008E3BD3" w:rsidRDefault="00A6021F" w:rsidP="00DD45EB">
    <w:pPr>
      <w:jc w:val="center"/>
    </w:pPr>
    <w:r w:rsidRPr="008E3BD3">
      <w:rPr>
        <w:rtl/>
      </w:rPr>
      <w:t>הרב צבי שכטר</w:t>
    </w:r>
    <w:r w:rsidR="00DD45EB">
      <w:rPr>
        <w:rtl/>
      </w:rPr>
      <w:tab/>
    </w:r>
    <w:r w:rsidR="00DD45EB">
      <w:rPr>
        <w:rtl/>
      </w:rPr>
      <w:tab/>
    </w:r>
    <w:r w:rsidR="00DD45EB">
      <w:rPr>
        <w:rtl/>
      </w:rPr>
      <w:tab/>
    </w:r>
    <w:r w:rsidR="00DD45EB">
      <w:rPr>
        <w:rtl/>
      </w:rPr>
      <w:tab/>
    </w:r>
    <w:r w:rsidR="000A0499" w:rsidRPr="000A0499">
      <w:rPr>
        <w:rtl/>
      </w:rPr>
      <w:t>א' אדר א תשע"ו</w:t>
    </w:r>
    <w:r w:rsidR="00DD45EB">
      <w:rPr>
        <w:rtl/>
      </w:rPr>
      <w:tab/>
    </w:r>
    <w:r>
      <w:tab/>
    </w:r>
    <w:r w:rsidR="00DF5C70">
      <w:rPr>
        <w:rtl/>
      </w:rPr>
      <w:tab/>
    </w:r>
    <w:r>
      <w:rPr>
        <w:rFonts w:hint="cs"/>
        <w:rtl/>
      </w:rPr>
      <w:t>ש</w:t>
    </w:r>
    <w:r w:rsidR="000A0499">
      <w:rPr>
        <w:rtl/>
      </w:rPr>
      <w:t xml:space="preserve">יעור </w:t>
    </w:r>
    <w:r w:rsidR="000A0499">
      <w:rPr>
        <w:rFonts w:hint="cs"/>
        <w:rtl/>
      </w:rPr>
      <w:t>ס"ז</w:t>
    </w:r>
    <w:r w:rsidRPr="008E3BD3">
      <w:rPr>
        <w:rtl/>
      </w:rPr>
      <w:t xml:space="preserve"> - מס' סנהדרין </w:t>
    </w:r>
    <w:r w:rsidR="000A0499">
      <w:rPr>
        <w:rFonts w:hint="cs"/>
        <w:rtl/>
      </w:rPr>
      <w:t>כד: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99"/>
    <w:rsid w:val="0001250B"/>
    <w:rsid w:val="000A0499"/>
    <w:rsid w:val="00102150"/>
    <w:rsid w:val="00103F07"/>
    <w:rsid w:val="00111610"/>
    <w:rsid w:val="00125C0B"/>
    <w:rsid w:val="002C4401"/>
    <w:rsid w:val="00347AC0"/>
    <w:rsid w:val="003A433A"/>
    <w:rsid w:val="003C710B"/>
    <w:rsid w:val="003E13A2"/>
    <w:rsid w:val="00401C3D"/>
    <w:rsid w:val="0043747D"/>
    <w:rsid w:val="00473A7A"/>
    <w:rsid w:val="00492D74"/>
    <w:rsid w:val="004A4414"/>
    <w:rsid w:val="004F4D2B"/>
    <w:rsid w:val="005D2EFF"/>
    <w:rsid w:val="006B791E"/>
    <w:rsid w:val="00703F68"/>
    <w:rsid w:val="007A4624"/>
    <w:rsid w:val="008E3BD3"/>
    <w:rsid w:val="00A130B1"/>
    <w:rsid w:val="00A6021F"/>
    <w:rsid w:val="00B06FED"/>
    <w:rsid w:val="00BA1018"/>
    <w:rsid w:val="00BC2476"/>
    <w:rsid w:val="00BF09A2"/>
    <w:rsid w:val="00C371CF"/>
    <w:rsid w:val="00C402D8"/>
    <w:rsid w:val="00CA0BD3"/>
    <w:rsid w:val="00D776CD"/>
    <w:rsid w:val="00DD45EB"/>
    <w:rsid w:val="00DF5C70"/>
    <w:rsid w:val="00E57F63"/>
    <w:rsid w:val="00E611CD"/>
    <w:rsid w:val="00ED3CB1"/>
    <w:rsid w:val="00FE5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90A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BD3"/>
    <w:pPr>
      <w:bidi/>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character" w:styleId="Hyperlink">
    <w:name w:val="Hyperlink"/>
    <w:basedOn w:val="DefaultParagraphFont"/>
    <w:uiPriority w:val="99"/>
    <w:unhideWhenUsed/>
    <w:rsid w:val="006B7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16219">
      <w:bodyDiv w:val="1"/>
      <w:marLeft w:val="0"/>
      <w:marRight w:val="0"/>
      <w:marTop w:val="0"/>
      <w:marBottom w:val="0"/>
      <w:divBdr>
        <w:top w:val="none" w:sz="0" w:space="0" w:color="auto"/>
        <w:left w:val="none" w:sz="0" w:space="0" w:color="auto"/>
        <w:bottom w:val="none" w:sz="0" w:space="0" w:color="auto"/>
        <w:right w:val="none" w:sz="0" w:space="0" w:color="auto"/>
      </w:divBdr>
      <w:divsChild>
        <w:div w:id="29689111">
          <w:marLeft w:val="0"/>
          <w:marRight w:val="-45"/>
          <w:marTop w:val="0"/>
          <w:marBottom w:val="0"/>
          <w:divBdr>
            <w:top w:val="none" w:sz="0" w:space="0" w:color="auto"/>
            <w:left w:val="none" w:sz="0" w:space="0" w:color="auto"/>
            <w:bottom w:val="none" w:sz="0" w:space="0" w:color="auto"/>
            <w:right w:val="none" w:sz="0" w:space="0" w:color="auto"/>
          </w:divBdr>
        </w:div>
        <w:div w:id="1362511391">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haretzion.org/23-torah/322-shiurei-harav-aharon-sales" TargetMode="External"/><Relationship Id="rId3" Type="http://schemas.openxmlformats.org/officeDocument/2006/relationships/webSettings" Target="webSettings.xml"/><Relationship Id="rId7" Type="http://schemas.openxmlformats.org/officeDocument/2006/relationships/hyperlink" Target="http://www.yutorah.org/lectures/lecture.cfm/842978/rabbi-hershel-schachter/sanhedrin-23-chazarah-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torah.com/lectures/lecture.cfm/840152/rabbi-hershel-schachter/sanhedrin-3-kenas-kofer-neilat-delet-and-reshu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Roaming\Microsoft\Templates\Source%20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Sheets.dotx</Template>
  <TotalTime>0</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2016-02-10T16:46:00Z</dcterms:created>
  <dcterms:modified xsi:type="dcterms:W3CDTF">2016-02-10T19:43:00Z</dcterms:modified>
</cp:coreProperties>
</file>