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70F4C" w14:textId="77777777" w:rsidR="008E3BD3" w:rsidRPr="00165D21" w:rsidRDefault="008E3BD3" w:rsidP="008E3BD3">
      <w:pPr>
        <w:pStyle w:val="Title"/>
        <w:bidi/>
        <w:rPr>
          <w:sz w:val="72"/>
          <w:szCs w:val="72"/>
          <w:rtl/>
        </w:rPr>
      </w:pPr>
      <w:r w:rsidRPr="00165D21">
        <w:rPr>
          <w:rFonts w:hint="cs"/>
          <w:sz w:val="72"/>
          <w:szCs w:val="72"/>
          <w:rtl/>
        </w:rPr>
        <w:t xml:space="preserve">עזר לצבי </w:t>
      </w:r>
    </w:p>
    <w:p w14:paraId="4712C3C8" w14:textId="1FEBD346" w:rsidR="008E3BD3" w:rsidRPr="008E3BD3" w:rsidRDefault="001D5FDC" w:rsidP="008E3BD3">
      <w:pPr>
        <w:pStyle w:val="Subtitle"/>
        <w:rPr>
          <w:rtl/>
        </w:rPr>
      </w:pPr>
      <w:r>
        <w:rPr>
          <w:rFonts w:hint="cs"/>
          <w:rtl/>
        </w:rPr>
        <w:t>פרשת משפטים</w:t>
      </w:r>
    </w:p>
    <w:p w14:paraId="35EDB316" w14:textId="255A0F60" w:rsidR="008E3BD3" w:rsidRDefault="002F07FB" w:rsidP="008E3BD3">
      <w:pPr>
        <w:pStyle w:val="Heading1"/>
      </w:pPr>
      <w:r>
        <w:rPr>
          <w:rFonts w:hint="cs"/>
          <w:rtl/>
        </w:rPr>
        <w:t>אבן עזרא</w:t>
      </w:r>
    </w:p>
    <w:p w14:paraId="7AFC2E40" w14:textId="111AD8A2" w:rsidR="005A02F7" w:rsidRDefault="005A02F7" w:rsidP="005A02F7">
      <w:pPr>
        <w:pStyle w:val="Heading2"/>
        <w:rPr>
          <w:rtl/>
        </w:rPr>
      </w:pPr>
      <w:r w:rsidRPr="005A02F7">
        <w:rPr>
          <w:rtl/>
        </w:rPr>
        <w:t>אבן עזרא שמות (הפירוש הארוך) פרשת משפטים</w:t>
      </w:r>
    </w:p>
    <w:p w14:paraId="37875698" w14:textId="4FE59406" w:rsidR="008E3BD3" w:rsidRDefault="00087429" w:rsidP="00087429">
      <w:pPr>
        <w:rPr>
          <w:rtl/>
        </w:rPr>
      </w:pPr>
      <w:r w:rsidRPr="00087429">
        <w:rPr>
          <w:rFonts w:hint="cs"/>
          <w:b/>
          <w:bCs/>
          <w:rtl/>
        </w:rPr>
        <w:t>כא:</w:t>
      </w:r>
      <w:r w:rsidRPr="00087429">
        <w:rPr>
          <w:b/>
          <w:bCs/>
          <w:rtl/>
        </w:rPr>
        <w:t>ל</w:t>
      </w:r>
      <w:r w:rsidRPr="00087429">
        <w:rPr>
          <w:rFonts w:hint="cs"/>
          <w:b/>
          <w:bCs/>
          <w:rtl/>
        </w:rPr>
        <w:t>ה</w:t>
      </w:r>
      <w:r w:rsidR="005A02F7" w:rsidRPr="005A02F7">
        <w:rPr>
          <w:rtl/>
        </w:rPr>
        <w:t xml:space="preserve"> וכי יגף. אמר בן זוטא, כי רעהו - תואר לשור. ולא ראה, כי שור איש סמוך הוא, וכן הוא: שור רעהו. ואין לשור ריע רק בן זוטא לבדו. וזה השור שהוא תם ישלם בעליו חצי נזק:</w:t>
      </w:r>
    </w:p>
    <w:p w14:paraId="5E11DD1C" w14:textId="5A2841EF" w:rsidR="005A02F7" w:rsidRDefault="00087429" w:rsidP="00087429">
      <w:r w:rsidRPr="00087429">
        <w:rPr>
          <w:rFonts w:hint="cs"/>
          <w:b/>
          <w:bCs/>
          <w:rtl/>
        </w:rPr>
        <w:t>כב:כ</w:t>
      </w:r>
      <w:r w:rsidRPr="00087429">
        <w:rPr>
          <w:b/>
          <w:bCs/>
          <w:rtl/>
        </w:rPr>
        <w:t>ח</w:t>
      </w:r>
      <w:r w:rsidRPr="00087429">
        <w:rPr>
          <w:rtl/>
        </w:rPr>
        <w:t xml:space="preserve"> מלאתך כנוי לתירוש, ודמעך כנוי ליצהר. והגאון רב סעדיה אמר, כי מלת מלאתך כוללת המלאה מן הזרע והמלאה מן היקב. ואמר, כי דמעך רמז ליצהר, כי כאשר ידרך הזית הוא יורד טפות כמו הדמע. והנה פי' זה הכתוב במקום אחר: והוא ראשית דגנך תירושך ויצהרך (דבר' יח, ד), על כן עמו בכור בניך תתן לי, כי הוא ראשית אונו. ובן זוטא אמר, כי מלאתך על ההריון, ודמעך כנוי לשכבת זרע והיא הטפה, ואמר לא תאחר שלא יעכב מלקחת לו אשה, על כן אחריו: בכור בניך תתן לי, וזה שגעון. למה הזכיר מלאתך לפני דמעך? כי דמעך לפי דעתו לשפוך זרע באשה, ואחר כך תבא ההריון. ועוד, כי דבר ההריון אינו ביד אדם רק בידי השם לבד. ואמר יפת, הזכיר הפסוק הזה שלא יאחר העני לתת מה שהוא חייב, כך תעשה לתת הבכור לכהן:</w:t>
      </w:r>
    </w:p>
    <w:p w14:paraId="5FA3FC78" w14:textId="685BA32F" w:rsidR="002F07FB" w:rsidRDefault="002F07FB" w:rsidP="002F07FB">
      <w:pPr>
        <w:pStyle w:val="Heading1"/>
        <w:rPr>
          <w:rtl/>
        </w:rPr>
      </w:pPr>
      <w:r>
        <w:rPr>
          <w:rFonts w:hint="cs"/>
          <w:rtl/>
        </w:rPr>
        <w:t>ושאלה אשה מאת</w:t>
      </w:r>
      <w:r w:rsidR="0007767F">
        <w:rPr>
          <w:rFonts w:hint="cs"/>
          <w:rtl/>
        </w:rPr>
        <w:t xml:space="preserve"> שכנתה</w:t>
      </w:r>
    </w:p>
    <w:p w14:paraId="2549A801" w14:textId="7A69A2EC" w:rsidR="002F07FB" w:rsidRDefault="002F07FB" w:rsidP="002F07FB">
      <w:pPr>
        <w:pStyle w:val="Heading2"/>
      </w:pPr>
      <w:r>
        <w:rPr>
          <w:rFonts w:hint="cs"/>
          <w:rtl/>
        </w:rPr>
        <w:t>מפניני הרב עמ' רע</w:t>
      </w:r>
    </w:p>
    <w:p w14:paraId="419C2AAD" w14:textId="0F7016FB" w:rsidR="00F17542" w:rsidRDefault="00F17542" w:rsidP="00F17542">
      <w:pPr>
        <w:pStyle w:val="Heading1"/>
        <w:rPr>
          <w:rtl/>
        </w:rPr>
      </w:pPr>
      <w:r>
        <w:rPr>
          <w:rFonts w:hint="cs"/>
          <w:rtl/>
        </w:rPr>
        <w:t>קרבן הגר</w:t>
      </w:r>
    </w:p>
    <w:p w14:paraId="0184BC0C" w14:textId="673A10A6" w:rsidR="00117C47" w:rsidRDefault="00F17542" w:rsidP="00117C47">
      <w:pPr>
        <w:pStyle w:val="Heading2"/>
        <w:rPr>
          <w:rtl/>
        </w:rPr>
      </w:pPr>
      <w:r w:rsidRPr="00F17542">
        <w:rPr>
          <w:rtl/>
        </w:rPr>
        <w:t>שו"ת אבני נזר חלק יורה דעה סימן שדמ</w:t>
      </w:r>
    </w:p>
    <w:p w14:paraId="399D8E6A" w14:textId="3C406821" w:rsidR="00117C47" w:rsidRPr="00117C47" w:rsidRDefault="00117C47" w:rsidP="00117C47">
      <w:pPr>
        <w:pStyle w:val="Heading2"/>
        <w:rPr>
          <w:rtl/>
        </w:rPr>
      </w:pPr>
      <w:r>
        <w:rPr>
          <w:rFonts w:hint="cs"/>
          <w:rtl/>
        </w:rPr>
        <w:t xml:space="preserve">נפש הרב עמ' </w:t>
      </w:r>
      <w:r w:rsidR="00210F13">
        <w:rPr>
          <w:rFonts w:hint="cs"/>
          <w:rtl/>
        </w:rPr>
        <w:t>רפח</w:t>
      </w:r>
    </w:p>
    <w:p w14:paraId="37E81ED8" w14:textId="56B5E103" w:rsidR="00F17542" w:rsidRDefault="004770B8" w:rsidP="001D5FDC">
      <w:pPr>
        <w:pStyle w:val="Subtitle"/>
        <w:rPr>
          <w:rtl/>
        </w:rPr>
      </w:pPr>
      <w:r>
        <w:rPr>
          <w:rFonts w:hint="cs"/>
          <w:rtl/>
        </w:rPr>
        <w:t>גדר עיר וכפר</w:t>
      </w:r>
      <w:r w:rsidR="00482B04">
        <w:rPr>
          <w:rFonts w:hint="cs"/>
          <w:rtl/>
        </w:rPr>
        <w:t>, זבל"א</w:t>
      </w:r>
      <w:r w:rsidR="004C5EDA">
        <w:rPr>
          <w:rFonts w:hint="cs"/>
          <w:rtl/>
        </w:rPr>
        <w:t>, דינא דמלכותא</w:t>
      </w:r>
    </w:p>
    <w:p w14:paraId="6BF84A06" w14:textId="289A080A" w:rsidR="001D5FDC" w:rsidRDefault="004770B8" w:rsidP="008A13AA">
      <w:pPr>
        <w:pStyle w:val="Heading1"/>
        <w:rPr>
          <w:rtl/>
        </w:rPr>
      </w:pPr>
      <w:r>
        <w:rPr>
          <w:rFonts w:hint="cs"/>
          <w:rtl/>
        </w:rPr>
        <w:t xml:space="preserve">גדר </w:t>
      </w:r>
      <w:r w:rsidR="008A13AA">
        <w:rPr>
          <w:rFonts w:hint="cs"/>
          <w:rtl/>
        </w:rPr>
        <w:t>עיר וכפר</w:t>
      </w:r>
    </w:p>
    <w:p w14:paraId="21AAD5A7" w14:textId="5541095F" w:rsidR="008A13AA" w:rsidRDefault="008A13AA" w:rsidP="008A13AA">
      <w:pPr>
        <w:pStyle w:val="Heading2"/>
        <w:rPr>
          <w:rtl/>
        </w:rPr>
      </w:pPr>
      <w:r>
        <w:rPr>
          <w:rFonts w:hint="cs"/>
          <w:rtl/>
        </w:rPr>
        <w:t>רמב"ם פירוש המשניות מגילה א:ג</w:t>
      </w:r>
    </w:p>
    <w:p w14:paraId="3B1160D2" w14:textId="5D84D379" w:rsidR="008A13AA" w:rsidRDefault="008A13AA" w:rsidP="008A13AA">
      <w:pPr>
        <w:rPr>
          <w:rtl/>
        </w:rPr>
      </w:pPr>
      <w:r w:rsidRPr="008A13AA">
        <w:rPr>
          <w:rtl/>
        </w:rPr>
        <w:t>עשרה בטלנין , הוא שיהא בבית הכנסת עשרה אנשים שאין להם מלאכה אלא צרכי הצבור והקריאה בתורה והשקידה על בית הכנסת.</w:t>
      </w:r>
    </w:p>
    <w:p w14:paraId="49A2CEF8" w14:textId="4F926EEE" w:rsidR="007C207F" w:rsidRDefault="007C207F" w:rsidP="007C207F">
      <w:pPr>
        <w:pStyle w:val="Heading2"/>
        <w:rPr>
          <w:rtl/>
        </w:rPr>
      </w:pPr>
      <w:r>
        <w:rPr>
          <w:rFonts w:hint="cs"/>
          <w:rtl/>
        </w:rPr>
        <w:t xml:space="preserve">רש"י מגילה ג: ד"ה </w:t>
      </w:r>
      <w:r w:rsidRPr="007C207F">
        <w:rPr>
          <w:rtl/>
        </w:rPr>
        <w:t>עשרה בטלנין</w:t>
      </w:r>
    </w:p>
    <w:p w14:paraId="1E99F074" w14:textId="7468B305" w:rsidR="007C207F" w:rsidRDefault="007C207F" w:rsidP="007C207F">
      <w:pPr>
        <w:rPr>
          <w:rtl/>
        </w:rPr>
      </w:pPr>
      <w:r w:rsidRPr="007C207F">
        <w:rPr>
          <w:rtl/>
        </w:rPr>
        <w:t>שבטלין ממלאכתן, שיהו מצויין תמיד בבית הכנסת שחרית וערבית, כדאמרינן במסכת ברכות (ו, ב): כיון שבא הקדוש ברוך הוא בבית הכנסת ולא מצא שם עשרה וכו'.</w:t>
      </w:r>
    </w:p>
    <w:p w14:paraId="750F3E08" w14:textId="279AB1C3" w:rsidR="00B54E27" w:rsidRDefault="00B54E27" w:rsidP="00B54E27">
      <w:pPr>
        <w:pStyle w:val="Heading2"/>
        <w:rPr>
          <w:rtl/>
        </w:rPr>
      </w:pPr>
      <w:r w:rsidRPr="00B54E27">
        <w:rPr>
          <w:rtl/>
        </w:rPr>
        <w:t>רמב"ם הלכות מגילה וחנוכה פרק א</w:t>
      </w:r>
      <w:r>
        <w:rPr>
          <w:rFonts w:hint="cs"/>
          <w:rtl/>
        </w:rPr>
        <w:t xml:space="preserve"> הלכה ח</w:t>
      </w:r>
    </w:p>
    <w:p w14:paraId="6AD8096E" w14:textId="76E351DD" w:rsidR="00F64971" w:rsidRDefault="00B54E27" w:rsidP="00F64971">
      <w:pPr>
        <w:rPr>
          <w:sz w:val="18"/>
          <w:szCs w:val="18"/>
        </w:rPr>
      </w:pPr>
      <w:r w:rsidRPr="00B54E27">
        <w:rPr>
          <w:rtl/>
        </w:rPr>
        <w:t xml:space="preserve">כפר שאין נכנסין בו בשני ובחמישי אין קוראין אותה אלא בארבעה עשר, ועיר שאין בה עשרה בטלנין קבועין בבית הכנסת לצרכי הצבור הרי היא ככפר ומקדימין וקוראין ביום הכניסה, ואם אין בעיר עשרה בני אדם תקנתו קלקלתו והרי הם כאנשי עיר גדולה ואין קוראין אלא בארבעה עשר. </w:t>
      </w:r>
      <w:r w:rsidRPr="00FF5513">
        <w:rPr>
          <w:sz w:val="18"/>
          <w:szCs w:val="18"/>
          <w:rtl/>
        </w:rPr>
        <w:t>+/השגת הראב"ד/ ואם אין בעיר עשרה בני אדם תקנתו קלקלתו והרי הן כאנשי עיר גדולה ואין קורין אלא בארבעה עשר. א"א (כתב) [זה בירוש' (פ"א ה"ד) מצא] אותו ואין לו טעם ואולי מפני שאינו לא כפר ולא כלום והם אמרו כפרים מקדימין, וכן אמרו (סנהדרין טו) מאימתי נעשית עיר הנדחת משהיו בה מעשרה ועד מאה ופירשו בירושלמי (שם /סנהדרין/ פ"י ה"ו) עיר לא כפר עיר לא כרך, יותר ממאה כרך הוא, עשרה כפר הוא, פחות מעשרה לא עיר ולא כפר, וכל זה אינו מספיק דלעולם אימא לך עשרה ופחות מעשרה כפר הוא.+</w:t>
      </w:r>
      <w:r w:rsidR="00F64971">
        <w:rPr>
          <w:rStyle w:val="FootnoteReference"/>
          <w:sz w:val="18"/>
          <w:szCs w:val="18"/>
          <w:rtl/>
        </w:rPr>
        <w:footnoteReference w:id="1"/>
      </w:r>
    </w:p>
    <w:p w14:paraId="04E4FB56" w14:textId="10B46AB6" w:rsidR="00F64971" w:rsidRDefault="0081502C" w:rsidP="0081502C">
      <w:pPr>
        <w:pStyle w:val="Heading1"/>
        <w:rPr>
          <w:rtl/>
        </w:rPr>
      </w:pPr>
      <w:r>
        <w:rPr>
          <w:rFonts w:hint="cs"/>
          <w:rtl/>
        </w:rPr>
        <w:lastRenderedPageBreak/>
        <w:t>מנהג עוקר הלכה</w:t>
      </w:r>
      <w:r w:rsidR="0030276A">
        <w:rPr>
          <w:rFonts w:hint="cs"/>
          <w:rtl/>
        </w:rPr>
        <w:t xml:space="preserve"> ודינא דמלכותא דינא</w:t>
      </w:r>
    </w:p>
    <w:p w14:paraId="33FAFC79" w14:textId="3DB07AB5" w:rsidR="0081502C" w:rsidRDefault="0081502C" w:rsidP="00ED6CE1">
      <w:pPr>
        <w:pStyle w:val="Heading2"/>
        <w:rPr>
          <w:rtl/>
        </w:rPr>
      </w:pPr>
      <w:r w:rsidRPr="0081502C">
        <w:rPr>
          <w:rtl/>
        </w:rPr>
        <w:t>מנהג עוקר הלכה (ירושלמי ב"מ פ"ו מס' סופרים פי"ד</w:t>
      </w:r>
      <w:r>
        <w:rPr>
          <w:rFonts w:hint="cs"/>
          <w:rtl/>
        </w:rPr>
        <w:t>)</w:t>
      </w:r>
    </w:p>
    <w:p w14:paraId="768B1675" w14:textId="54361DA5" w:rsidR="001375D9" w:rsidRDefault="001375D9" w:rsidP="00ED6CE1">
      <w:pPr>
        <w:pStyle w:val="Heading2"/>
        <w:rPr>
          <w:rtl/>
        </w:rPr>
      </w:pPr>
      <w:r>
        <w:rPr>
          <w:rFonts w:hint="cs"/>
          <w:rtl/>
        </w:rPr>
        <w:t>דרכי משה חושן משפט עג:ו</w:t>
      </w:r>
    </w:p>
    <w:p w14:paraId="3B1C23D3" w14:textId="716A13C0" w:rsidR="001375D9" w:rsidRPr="001375D9" w:rsidRDefault="001375D9" w:rsidP="001375D9">
      <w:r w:rsidRPr="001375D9">
        <w:rPr>
          <w:rtl/>
        </w:rPr>
        <w:t>(ו) וכן כתב המרדכי פרק הגוזל בתרא (ב"ק סי' קנד) דבמקום שיש מנהג במלוים לגוים שאין יכולין למכור המשכון פחות משנה ואחר כך מוכרו דנין כן גם בישראל שמשכן לחבירו ועיי"ש:</w:t>
      </w:r>
    </w:p>
    <w:p w14:paraId="49B8901C" w14:textId="4F868437" w:rsidR="00ED6CE1" w:rsidRDefault="00ED6CE1" w:rsidP="00ED6CE1">
      <w:pPr>
        <w:pStyle w:val="Heading2"/>
        <w:rPr>
          <w:rtl/>
        </w:rPr>
      </w:pPr>
      <w:r>
        <w:rPr>
          <w:rFonts w:hint="cs"/>
          <w:rtl/>
        </w:rPr>
        <w:t>ש"ך חושן משפט עג:יד, שנו:י</w:t>
      </w:r>
    </w:p>
    <w:p w14:paraId="1390059F" w14:textId="4E7C9149" w:rsidR="00560815" w:rsidRPr="00560815" w:rsidRDefault="00560815" w:rsidP="00560815">
      <w:pPr>
        <w:pStyle w:val="Heading2"/>
        <w:rPr>
          <w:shd w:val="clear" w:color="auto" w:fill="auto"/>
          <w:rtl/>
        </w:rPr>
      </w:pPr>
      <w:r>
        <w:rPr>
          <w:rFonts w:hint="cs"/>
          <w:shd w:val="clear" w:color="auto" w:fill="auto"/>
          <w:rtl/>
        </w:rPr>
        <w:t>חזון איש, חושן משפט, ליקוטים טז:א</w:t>
      </w:r>
      <w:r w:rsidR="00C31DFD">
        <w:rPr>
          <w:rFonts w:hint="cs"/>
          <w:shd w:val="clear" w:color="auto" w:fill="auto"/>
        </w:rPr>
        <w:t xml:space="preserve"> </w:t>
      </w:r>
      <w:r w:rsidR="00C31DFD">
        <w:rPr>
          <w:rFonts w:hint="cs"/>
          <w:shd w:val="clear" w:color="auto" w:fill="auto"/>
          <w:rtl/>
        </w:rPr>
        <w:t>(עמ' 464</w:t>
      </w:r>
      <w:r w:rsidR="00C31DFD">
        <w:rPr>
          <w:shd w:val="clear" w:color="auto" w:fill="auto"/>
        </w:rPr>
        <w:t>(</w:t>
      </w:r>
    </w:p>
    <w:p w14:paraId="15C06C89" w14:textId="77777777" w:rsidR="00313895" w:rsidRDefault="00C31DFD" w:rsidP="00313895">
      <w:pPr>
        <w:rPr>
          <w:rtl/>
        </w:rPr>
      </w:pPr>
      <w:r w:rsidRPr="00C31DFD">
        <w:rPr>
          <w:rtl/>
        </w:rPr>
        <w:t>מי שלקח קרקע מחברו בארצנו הק' וקנאה בכםף שטר וחזקה או ק"ם אי קנה בלא כתיבת טאב"ו</w:t>
      </w:r>
    </w:p>
    <w:p w14:paraId="16102860" w14:textId="1C76D46F" w:rsidR="00C924CE" w:rsidRDefault="00C31DFD" w:rsidP="00313895">
      <w:pPr>
        <w:rPr>
          <w:rtl/>
        </w:rPr>
      </w:pPr>
      <w:r w:rsidRPr="00C31DFD">
        <w:rPr>
          <w:rtl/>
        </w:rPr>
        <w:t xml:space="preserve">כ' הר"י בש"מ ב"ב נ"ה א' דהא דאמרינן דחזקת פרסאי מ' שנין אינו אלא לענין ישראל שלקח שדה מן הנכרי ובא ישראל מערער שהיא גזולה ביד הנכרי והביא עדים שהיתה שלו אם החזיק הנכרי מ' שנה קנאה מדינא דמלכותא ואין ישראל המערער מוציא מידו אבל אינו מועיל ד"ד שלא תועיל חזקת ג' שנה לדידן דכיון דאנו חייבין לעשות ע"פ תורתנו ולדון בב"ד של ישראל ואם יבואו בעלי דין לפני ב"ד של ישראל ויעמידו את השדה ביד המחזיק והמערער יסלק ידו מפני שהוא ציית דיני ישראל לא יענישו המלכות על זה שהרי רשאי המערער למחול על תביעתו א"כ מעולם לא הפקיעה המלכות זכותו של המחזיק בזמן שהוא דן בדיני ישראל ומיהו אי ירד המערער לערכאות וזכה בשדהו משמע שם דכדין זכה דכל שדנו הפקיעו הממון בכח המלכות אבל מנדין אותו במה שלא דן לפני ב"ד של ישראל דכיךן דהיה יכול לדון בדיני ישראל אסור לו לדון בערכאות ואפשר דמשום קנסא צריך להחזיר את השדה ודוקא כשאין המלכות מקפדת על הנדוי ואפשר דחייב מדין גרמי שגרם שיפקירו שדהו אף שההפקר חייל מן הדין וכ"מ בשו"ע סי' ס"ח ס"א בהגה' ואפי' דנו כבר הערכאות כו' </w:t>
      </w:r>
    </w:p>
    <w:p w14:paraId="73124BDE" w14:textId="77777777" w:rsidR="00C924CE" w:rsidRDefault="00C31DFD" w:rsidP="00C924CE">
      <w:pPr>
        <w:rPr>
          <w:rtl/>
        </w:rPr>
      </w:pPr>
      <w:r w:rsidRPr="00C31DFD">
        <w:rPr>
          <w:rtl/>
        </w:rPr>
        <w:t>והנה למדנו מדברי הר"י דעל אומתו חלה ד"ד לעולם אף שלא עמדו בדין וכן בן אומתו וישראל זוכה בן אומתו בד"ד אף שלא עמדו בדין והלכך נכרי שהחזיק מ' שנה זכה וישראל ראשון אבד זכותו אף אם היא גזולה באמת ואף שנתגלגל הדבר והשתא אין הדבר נוגע אלא בין ישראל לחברו שהנכרי מכרה לישראל וישראל ראשון בא להוציא מידו מ"מ דיינינלהו בד"ד שכבר קנאה הנכרי בד"ד ואין כאן גזילה</w:t>
      </w:r>
    </w:p>
    <w:p w14:paraId="4AEFC869" w14:textId="3975B0F4" w:rsidR="00C31DFD" w:rsidRDefault="00C31DFD" w:rsidP="00C924CE">
      <w:pPr>
        <w:rPr>
          <w:rtl/>
        </w:rPr>
      </w:pPr>
      <w:r w:rsidRPr="00C31DFD">
        <w:rPr>
          <w:rtl/>
        </w:rPr>
        <w:t>אבל כשתחלת הנידון בין ישראל לחברו אין כאן ד"ד ודיינינן להו בדיני ישראל וזה דעת כל הפוסקים שכן מבואר בל'</w:t>
      </w:r>
      <w:r>
        <w:rPr>
          <w:rFonts w:hint="cs"/>
          <w:rtl/>
        </w:rPr>
        <w:t xml:space="preserve"> </w:t>
      </w:r>
      <w:r w:rsidRPr="00C31DFD">
        <w:rPr>
          <w:rtl/>
        </w:rPr>
        <w:t>שטרות מבואר שאם היו מקפידים שידונו כדיניהם היה גם זה בכלל ד"ד וכיון שאינן מקפידין אם פוסלין משום דבר שאנו פוסלין בנעשה בישראל אין כאן ד"ד וכן הנ"י ב"ב נ"ה א' הביא דברי הר"י וזו כונת רשב"א למש"כ הד"מ בטור םי' שס"ט סק"ג והיינו טעמא דאנו דנין לעולם ביי ישראל לחברו בדיני ישראל ואין משגיחין בדיניהם</w:t>
      </w:r>
    </w:p>
    <w:p w14:paraId="0243CF0E" w14:textId="746E6A45" w:rsidR="00C31DFD" w:rsidRPr="00C31DFD" w:rsidRDefault="00C31DFD" w:rsidP="00CC1DDB">
      <w:pPr>
        <w:rPr>
          <w:rtl/>
        </w:rPr>
      </w:pPr>
      <w:bookmarkStart w:id="0" w:name="_GoBack"/>
      <w:r w:rsidRPr="006477FE">
        <w:rPr>
          <w:b/>
          <w:bCs/>
          <w:rtl/>
        </w:rPr>
        <w:t>ולפיכך</w:t>
      </w:r>
      <w:r w:rsidRPr="00C31DFD">
        <w:rPr>
          <w:rtl/>
        </w:rPr>
        <w:t xml:space="preserve"> </w:t>
      </w:r>
      <w:bookmarkEnd w:id="0"/>
      <w:r w:rsidRPr="00C31DFD">
        <w:rPr>
          <w:rtl/>
        </w:rPr>
        <w:t>יש לתמוה על הכתוב במרדכי פ' הגוזל בתראבשם ר"י ב"פ דדן במי שמכר את המשכון סוף שנה מד"ד והביא ראי' מפ"ק דגיטין ותימה מה נשתנה דין זה מכל דיני תורה שבין ישראל לחברו ובד"מ בטור סי' ע"ג ס"ק ו' פי' דברי המרדכי דד"ד חשיב כמנהג והמלוה סתם ולא פירש זמן דעתו כפי הנהוג עם העכו"ם אבל לשון המרדכי צ"ע ועי' בתשובת הרי"י בב"י סי' שס"' אח"כ ראיתי בש"ך סי' ע"ג ס"ק ל"ט פי' ג"כ דברי המרדכי משום מנהג ול' הש"ך ז"ל קשה לכוין שאין חילוק בין דין מפורש לאינו מפורש ואין כלל דין שאינו מפורש שהכל מפורש בתורה אלא שכן הוא הדין שאם משכנו סתם צריך ב"ד לשקול את האומד עד כמה מחל לו שלא יתבענו ודינא דמלכותא מכרעת את האומד וכיון דמורגל אצלנו דינא דמלכותא דינא אף שזה רק בתנאים מיוחדים מ"מ זה משפיע על בני אדם לסמוך בסתמא על שיעור שהם דנים וזו כונת הראב"ד בש"ך ס"ק ל"ו ונמ</w:t>
      </w:r>
      <w:r>
        <w:rPr>
          <w:rtl/>
        </w:rPr>
        <w:t>צא דאנו דנין בדיננו ולא בדיניהם</w:t>
      </w:r>
    </w:p>
    <w:p w14:paraId="357323D2" w14:textId="2475298D" w:rsidR="001375D9" w:rsidRDefault="001375D9" w:rsidP="001375D9">
      <w:pPr>
        <w:pStyle w:val="Heading1"/>
        <w:rPr>
          <w:rtl/>
        </w:rPr>
      </w:pPr>
      <w:r>
        <w:rPr>
          <w:rFonts w:hint="cs"/>
          <w:rtl/>
        </w:rPr>
        <w:t>יצא הדין לאמיתו</w:t>
      </w:r>
    </w:p>
    <w:p w14:paraId="3DC7C1A4" w14:textId="13ABA11F" w:rsidR="001375D9" w:rsidRDefault="001375D9" w:rsidP="001375D9">
      <w:pPr>
        <w:pStyle w:val="Heading2"/>
        <w:rPr>
          <w:rtl/>
        </w:rPr>
      </w:pPr>
      <w:r>
        <w:rPr>
          <w:rFonts w:hint="cs"/>
          <w:rtl/>
        </w:rPr>
        <w:t>רש"י כג. ד"ה שיצא הדין לאמיתו</w:t>
      </w:r>
    </w:p>
    <w:p w14:paraId="3A50CD45" w14:textId="2C8C3FA3" w:rsidR="001375D9" w:rsidRDefault="001375D9" w:rsidP="001375D9">
      <w:pPr>
        <w:pStyle w:val="Heading2"/>
        <w:rPr>
          <w:rtl/>
        </w:rPr>
      </w:pPr>
      <w:r>
        <w:rPr>
          <w:rFonts w:hint="cs"/>
          <w:rtl/>
        </w:rPr>
        <w:t>רא"ש סנהדרין ג:ב</w:t>
      </w:r>
    </w:p>
    <w:p w14:paraId="1B721AB2" w14:textId="03C2ABF4" w:rsidR="001375D9" w:rsidRPr="001375D9" w:rsidRDefault="001375D9" w:rsidP="003B24AC">
      <w:r w:rsidRPr="001375D9">
        <w:rPr>
          <w:b/>
          <w:bCs/>
          <w:rtl/>
        </w:rPr>
        <w:t>מפני שיש חסרי דעת טועין בדברי רש"י ולמדין ממנו שהדיין יש לו להפך בזכות אותו שבירר ועומד במקומו לחפות בדברים אשר לא כדין ונהגו כמה אנשים לברור להם בעל תחבולות ונתלין בדברי רש"י שמשמע שיש לו להפך בזכותו. וחלילה וחס לא דקדקו בדבריו שכתב דסברי הרי אני ביררתי.</w:t>
      </w:r>
      <w:r w:rsidRPr="001375D9">
        <w:rPr>
          <w:rtl/>
        </w:rPr>
        <w:t xml:space="preserve"> כי הוא סובר כך שיהפך בזכותו יותר מבזכות האחר ומתוך זה ציית לדיניהן. אבל הדיין עצמו חלילה לו למצוא סברא לזכותו אם לא שיראה לו דין גמור אבל אם היה יכול להטעות את חבירו לקבל סברתו אע"פ הוא מסופק בה הרי זה בכלל מטה משפט אבל מתוך שזה ביררו מבין דבריו לאשורו ואם יש לו שום צד זכות נושא ונותן עם חברו וכן עושה הדיין האחר לשני נמצא לא נשאר זכות (לא) נסתר ונעלם לשניהם והשלישי שומע משא ומתן של שניהם ומכריע ביניהם ויוצא הדין לאמתו.</w:t>
      </w:r>
    </w:p>
    <w:p w14:paraId="36604DEB" w14:textId="77777777" w:rsidR="00ED6CE1" w:rsidRDefault="00ED6CE1" w:rsidP="0081502C">
      <w:pPr>
        <w:rPr>
          <w:rtl/>
        </w:rPr>
      </w:pPr>
    </w:p>
    <w:p w14:paraId="326A07CB" w14:textId="77777777" w:rsidR="0081502C" w:rsidRPr="0081502C" w:rsidRDefault="0081502C" w:rsidP="0081502C">
      <w:pPr>
        <w:rPr>
          <w:rFonts w:hint="cs"/>
        </w:rPr>
      </w:pPr>
    </w:p>
    <w:sectPr w:rsidR="0081502C" w:rsidRPr="0081502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434D9" w14:textId="77777777" w:rsidR="005A02F7" w:rsidRDefault="005A02F7" w:rsidP="008E3BD3">
      <w:r>
        <w:separator/>
      </w:r>
    </w:p>
  </w:endnote>
  <w:endnote w:type="continuationSeparator" w:id="0">
    <w:p w14:paraId="1C7E5E5F" w14:textId="77777777" w:rsidR="005A02F7" w:rsidRDefault="005A02F7" w:rsidP="008E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E4B21" w14:textId="77777777" w:rsidR="00A6021F" w:rsidRDefault="00A6021F">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66201" w14:textId="77777777" w:rsidR="005A02F7" w:rsidRDefault="005A02F7" w:rsidP="008E3BD3">
      <w:r>
        <w:separator/>
      </w:r>
    </w:p>
  </w:footnote>
  <w:footnote w:type="continuationSeparator" w:id="0">
    <w:p w14:paraId="47F022F2" w14:textId="77777777" w:rsidR="005A02F7" w:rsidRDefault="005A02F7" w:rsidP="008E3BD3">
      <w:r>
        <w:continuationSeparator/>
      </w:r>
    </w:p>
  </w:footnote>
  <w:footnote w:id="1">
    <w:p w14:paraId="1F701872" w14:textId="211EEB32" w:rsidR="00F64971" w:rsidRPr="00C01768" w:rsidRDefault="00F64971" w:rsidP="00C01768">
      <w:pPr>
        <w:rPr>
          <w:sz w:val="10"/>
          <w:szCs w:val="10"/>
        </w:rPr>
      </w:pPr>
      <w:r w:rsidRPr="00F64971">
        <w:rPr>
          <w:rStyle w:val="FootnoteReference"/>
          <w:sz w:val="10"/>
          <w:szCs w:val="10"/>
        </w:rPr>
        <w:footnoteRef/>
      </w:r>
      <w:r w:rsidRPr="00F64971">
        <w:rPr>
          <w:sz w:val="10"/>
          <w:szCs w:val="10"/>
          <w:rtl/>
        </w:rPr>
        <w:t xml:space="preserve"> </w:t>
      </w:r>
      <w:hyperlink r:id="rId1" w:history="1">
        <w:r w:rsidRPr="00F64971">
          <w:rPr>
            <w:rStyle w:val="Hyperlink"/>
            <w:sz w:val="10"/>
            <w:szCs w:val="10"/>
          </w:rPr>
          <w:t>Displaced Persons Camps</w:t>
        </w:r>
      </w:hyperlink>
      <w:r w:rsidR="00C01768">
        <w:rPr>
          <w:sz w:val="10"/>
          <w:szCs w:val="10"/>
        </w:rPr>
        <w:t xml:space="preserve">, </w:t>
      </w:r>
      <w:hyperlink r:id="rId2" w:history="1">
        <w:r w:rsidRPr="00F64971">
          <w:rPr>
            <w:rStyle w:val="Hyperlink"/>
            <w:sz w:val="10"/>
            <w:szCs w:val="10"/>
          </w:rPr>
          <w:t>Lakewood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B7DB" w14:textId="3AAFB0C8" w:rsidR="008E3BD3" w:rsidRDefault="00A6021F" w:rsidP="00307E47">
    <w:r w:rsidRPr="008E3BD3">
      <w:rPr>
        <w:rtl/>
      </w:rPr>
      <w:t>הרב צבי שכטר</w:t>
    </w:r>
    <w:r w:rsidR="00307E47">
      <w:rPr>
        <w:rtl/>
      </w:rPr>
      <w:tab/>
    </w:r>
    <w:r w:rsidR="00307E47">
      <w:rPr>
        <w:rtl/>
      </w:rPr>
      <w:tab/>
    </w:r>
    <w:r w:rsidR="00307E47">
      <w:rPr>
        <w:rtl/>
      </w:rPr>
      <w:tab/>
    </w:r>
    <w:r w:rsidR="00307E47">
      <w:rPr>
        <w:rtl/>
      </w:rPr>
      <w:tab/>
    </w:r>
    <w:r w:rsidR="00307E47">
      <w:rPr>
        <w:rFonts w:hint="cs"/>
      </w:rPr>
      <w:t xml:space="preserve">       </w:t>
    </w:r>
    <w:r w:rsidR="005A02F7" w:rsidRPr="005A02F7">
      <w:rPr>
        <w:rtl/>
      </w:rPr>
      <w:t>כ"ה שבט תשע"ו</w:t>
    </w:r>
    <w:r w:rsidR="00307E47">
      <w:rPr>
        <w:rtl/>
      </w:rPr>
      <w:tab/>
    </w:r>
    <w:r w:rsidR="00307E47">
      <w:rPr>
        <w:rtl/>
      </w:rPr>
      <w:tab/>
    </w:r>
    <w:r>
      <w:rPr>
        <w:rFonts w:hint="cs"/>
        <w:rtl/>
      </w:rPr>
      <w:t>ש</w:t>
    </w:r>
    <w:r w:rsidR="005A02F7">
      <w:rPr>
        <w:rtl/>
      </w:rPr>
      <w:t xml:space="preserve">יעור </w:t>
    </w:r>
    <w:r w:rsidR="005A02F7">
      <w:rPr>
        <w:rFonts w:hint="cs"/>
        <w:rtl/>
      </w:rPr>
      <w:t>ס"ג</w:t>
    </w:r>
    <w:r w:rsidR="00DD1420">
      <w:rPr>
        <w:rtl/>
      </w:rPr>
      <w:t xml:space="preserve"> - מס' סנהדרין </w:t>
    </w:r>
    <w:r w:rsidR="00DD1420">
      <w:rPr>
        <w:rFonts w:hint="cs"/>
        <w:rtl/>
      </w:rPr>
      <w:t>יח</w:t>
    </w:r>
    <w:r w:rsidRPr="008E3BD3">
      <w:rPr>
        <w:rtl/>
      </w:rPr>
      <w:t>.</w:t>
    </w:r>
    <w:r w:rsidR="00307E47">
      <w:rPr>
        <w:rFonts w:hint="cs"/>
        <w:rtl/>
      </w:rPr>
      <w:t>, כג</w:t>
    </w:r>
    <w:r w:rsidR="00307E47">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1"/>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2F7"/>
    <w:rsid w:val="0007767F"/>
    <w:rsid w:val="00087429"/>
    <w:rsid w:val="00111610"/>
    <w:rsid w:val="00117C47"/>
    <w:rsid w:val="00125C0B"/>
    <w:rsid w:val="001375D9"/>
    <w:rsid w:val="00165D21"/>
    <w:rsid w:val="001D5FDC"/>
    <w:rsid w:val="00210F13"/>
    <w:rsid w:val="002F07FB"/>
    <w:rsid w:val="0030276A"/>
    <w:rsid w:val="00307E47"/>
    <w:rsid w:val="00313895"/>
    <w:rsid w:val="003B24AC"/>
    <w:rsid w:val="003C3DC5"/>
    <w:rsid w:val="004770B8"/>
    <w:rsid w:val="00482B04"/>
    <w:rsid w:val="004C5EDA"/>
    <w:rsid w:val="00560815"/>
    <w:rsid w:val="005A02F7"/>
    <w:rsid w:val="006477FE"/>
    <w:rsid w:val="007A4624"/>
    <w:rsid w:val="007C207F"/>
    <w:rsid w:val="0081502C"/>
    <w:rsid w:val="008A13AA"/>
    <w:rsid w:val="008E3BD3"/>
    <w:rsid w:val="00A6021F"/>
    <w:rsid w:val="00B07AF4"/>
    <w:rsid w:val="00B54E27"/>
    <w:rsid w:val="00BC2476"/>
    <w:rsid w:val="00C01768"/>
    <w:rsid w:val="00C31DFD"/>
    <w:rsid w:val="00C402D8"/>
    <w:rsid w:val="00C46406"/>
    <w:rsid w:val="00C72725"/>
    <w:rsid w:val="00C924CE"/>
    <w:rsid w:val="00CC1DDB"/>
    <w:rsid w:val="00D776CD"/>
    <w:rsid w:val="00DD1420"/>
    <w:rsid w:val="00DF5C70"/>
    <w:rsid w:val="00ED6CE1"/>
    <w:rsid w:val="00F17542"/>
    <w:rsid w:val="00F64971"/>
    <w:rsid w:val="00FF55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1E4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BD3"/>
    <w:pPr>
      <w:bidi/>
    </w:pPr>
    <w:rPr>
      <w:rFonts w:ascii="Narkisim" w:hAnsi="Narkisim" w:cs="Narkisim"/>
    </w:rPr>
  </w:style>
  <w:style w:type="paragraph" w:styleId="Heading1">
    <w:name w:val="heading 1"/>
    <w:basedOn w:val="Heading3"/>
    <w:next w:val="Normal"/>
    <w:link w:val="Heading1Char"/>
    <w:uiPriority w:val="9"/>
    <w:qFormat/>
    <w:rsid w:val="008E3BD3"/>
    <w:pPr>
      <w:outlineLvl w:val="0"/>
    </w:pPr>
  </w:style>
  <w:style w:type="paragraph" w:styleId="Heading2">
    <w:name w:val="heading 2"/>
    <w:basedOn w:val="Heading1"/>
    <w:next w:val="Normal"/>
    <w:link w:val="Heading2Char"/>
    <w:uiPriority w:val="9"/>
    <w:unhideWhenUsed/>
    <w:qFormat/>
    <w:rsid w:val="008E3BD3"/>
    <w:pPr>
      <w:outlineLvl w:val="1"/>
    </w:pPr>
    <w:rPr>
      <w:b w:val="0"/>
      <w:bCs w:val="0"/>
      <w:color w:val="000080"/>
      <w:sz w:val="24"/>
      <w:szCs w:val="24"/>
      <w:u w:val="none"/>
      <w:shd w:val="clear" w:color="auto" w:fill="FFFFFF"/>
    </w:rPr>
  </w:style>
  <w:style w:type="paragraph" w:styleId="Heading3">
    <w:name w:val="heading 3"/>
    <w:basedOn w:val="Normal"/>
    <w:next w:val="Normal"/>
    <w:link w:val="Heading3Char"/>
    <w:uiPriority w:val="9"/>
    <w:unhideWhenUsed/>
    <w:qFormat/>
    <w:rsid w:val="008E3BD3"/>
    <w:pPr>
      <w:outlineLvl w:val="2"/>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BD3"/>
  </w:style>
  <w:style w:type="paragraph" w:styleId="Footer">
    <w:name w:val="footer"/>
    <w:basedOn w:val="Normal"/>
    <w:link w:val="FooterChar"/>
    <w:uiPriority w:val="99"/>
    <w:unhideWhenUsed/>
    <w:rsid w:val="008E3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BD3"/>
  </w:style>
  <w:style w:type="character" w:customStyle="1" w:styleId="Heading2Char">
    <w:name w:val="Heading 2 Char"/>
    <w:basedOn w:val="DefaultParagraphFont"/>
    <w:link w:val="Heading2"/>
    <w:uiPriority w:val="9"/>
    <w:rsid w:val="008E3BD3"/>
    <w:rPr>
      <w:rFonts w:ascii="Narkisim" w:hAnsi="Narkisim" w:cs="Narkisim"/>
      <w:color w:val="000080"/>
      <w:sz w:val="24"/>
      <w:szCs w:val="24"/>
    </w:rPr>
  </w:style>
  <w:style w:type="character" w:customStyle="1" w:styleId="Heading3Char">
    <w:name w:val="Heading 3 Char"/>
    <w:basedOn w:val="DefaultParagraphFont"/>
    <w:link w:val="Heading3"/>
    <w:uiPriority w:val="9"/>
    <w:rsid w:val="008E3BD3"/>
    <w:rPr>
      <w:rFonts w:ascii="Narkisim" w:hAnsi="Narkisim" w:cs="Narkisim"/>
      <w:b/>
      <w:bCs/>
      <w:sz w:val="28"/>
      <w:szCs w:val="28"/>
      <w:u w:val="single"/>
    </w:rPr>
  </w:style>
  <w:style w:type="paragraph" w:styleId="Title">
    <w:name w:val="Title"/>
    <w:basedOn w:val="Heading1"/>
    <w:next w:val="Normal"/>
    <w:link w:val="TitleChar"/>
    <w:uiPriority w:val="10"/>
    <w:qFormat/>
    <w:rsid w:val="008E3BD3"/>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8E3BD3"/>
    <w:rPr>
      <w:rFonts w:ascii="Narkisim" w:hAnsi="Narkisim" w:cs="Narkisim"/>
      <w:sz w:val="48"/>
      <w:szCs w:val="48"/>
    </w:rPr>
  </w:style>
  <w:style w:type="paragraph" w:styleId="Subtitle">
    <w:name w:val="Subtitle"/>
    <w:basedOn w:val="Title"/>
    <w:next w:val="Normal"/>
    <w:link w:val="SubtitleChar"/>
    <w:uiPriority w:val="11"/>
    <w:qFormat/>
    <w:rsid w:val="008E3BD3"/>
    <w:pPr>
      <w:bidi/>
    </w:pPr>
    <w:rPr>
      <w:sz w:val="32"/>
      <w:szCs w:val="32"/>
    </w:rPr>
  </w:style>
  <w:style w:type="character" w:customStyle="1" w:styleId="SubtitleChar">
    <w:name w:val="Subtitle Char"/>
    <w:basedOn w:val="DefaultParagraphFont"/>
    <w:link w:val="Subtitle"/>
    <w:uiPriority w:val="11"/>
    <w:rsid w:val="008E3BD3"/>
    <w:rPr>
      <w:rFonts w:ascii="Narkisim" w:hAnsi="Narkisim" w:cs="Narkisim"/>
      <w:sz w:val="32"/>
      <w:szCs w:val="32"/>
    </w:rPr>
  </w:style>
  <w:style w:type="character" w:customStyle="1" w:styleId="Heading1Char">
    <w:name w:val="Heading 1 Char"/>
    <w:basedOn w:val="DefaultParagraphFont"/>
    <w:link w:val="Heading1"/>
    <w:uiPriority w:val="9"/>
    <w:rsid w:val="008E3BD3"/>
    <w:rPr>
      <w:rFonts w:ascii="Narkisim" w:hAnsi="Narkisim" w:cs="Narkisim"/>
      <w:b/>
      <w:bCs/>
      <w:sz w:val="28"/>
      <w:szCs w:val="28"/>
      <w:u w:val="single"/>
    </w:rPr>
  </w:style>
  <w:style w:type="character" w:styleId="Hyperlink">
    <w:name w:val="Hyperlink"/>
    <w:basedOn w:val="DefaultParagraphFont"/>
    <w:uiPriority w:val="99"/>
    <w:unhideWhenUsed/>
    <w:rsid w:val="004770B8"/>
    <w:rPr>
      <w:color w:val="0563C1" w:themeColor="hyperlink"/>
      <w:u w:val="single"/>
    </w:rPr>
  </w:style>
  <w:style w:type="paragraph" w:styleId="FootnoteText">
    <w:name w:val="footnote text"/>
    <w:basedOn w:val="Normal"/>
    <w:link w:val="FootnoteTextChar"/>
    <w:uiPriority w:val="99"/>
    <w:semiHidden/>
    <w:unhideWhenUsed/>
    <w:rsid w:val="00F649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4971"/>
    <w:rPr>
      <w:rFonts w:ascii="Narkisim" w:hAnsi="Narkisim" w:cs="Narkisim"/>
      <w:sz w:val="20"/>
      <w:szCs w:val="20"/>
    </w:rPr>
  </w:style>
  <w:style w:type="character" w:styleId="FootnoteReference">
    <w:name w:val="footnote reference"/>
    <w:basedOn w:val="DefaultParagraphFont"/>
    <w:uiPriority w:val="99"/>
    <w:semiHidden/>
    <w:unhideWhenUsed/>
    <w:rsid w:val="00F649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354205">
      <w:bodyDiv w:val="1"/>
      <w:marLeft w:val="0"/>
      <w:marRight w:val="0"/>
      <w:marTop w:val="0"/>
      <w:marBottom w:val="0"/>
      <w:divBdr>
        <w:top w:val="none" w:sz="0" w:space="0" w:color="auto"/>
        <w:left w:val="none" w:sz="0" w:space="0" w:color="auto"/>
        <w:bottom w:val="none" w:sz="0" w:space="0" w:color="auto"/>
        <w:right w:val="none" w:sz="0" w:space="0" w:color="auto"/>
      </w:divBdr>
      <w:divsChild>
        <w:div w:id="1864785339">
          <w:marLeft w:val="0"/>
          <w:marRight w:val="0"/>
          <w:marTop w:val="0"/>
          <w:marBottom w:val="0"/>
          <w:divBdr>
            <w:top w:val="single" w:sz="6" w:space="0" w:color="CECEC6"/>
            <w:left w:val="none" w:sz="0" w:space="0" w:color="auto"/>
            <w:bottom w:val="none" w:sz="0" w:space="0" w:color="auto"/>
            <w:right w:val="none" w:sz="0" w:space="0" w:color="auto"/>
          </w:divBdr>
        </w:div>
      </w:divsChild>
    </w:div>
    <w:div w:id="1008673971">
      <w:bodyDiv w:val="1"/>
      <w:marLeft w:val="0"/>
      <w:marRight w:val="0"/>
      <w:marTop w:val="0"/>
      <w:marBottom w:val="0"/>
      <w:divBdr>
        <w:top w:val="none" w:sz="0" w:space="0" w:color="auto"/>
        <w:left w:val="none" w:sz="0" w:space="0" w:color="auto"/>
        <w:bottom w:val="none" w:sz="0" w:space="0" w:color="auto"/>
        <w:right w:val="none" w:sz="0" w:space="0" w:color="auto"/>
      </w:divBdr>
      <w:divsChild>
        <w:div w:id="1248422522">
          <w:marLeft w:val="0"/>
          <w:marRight w:val="0"/>
          <w:marTop w:val="0"/>
          <w:marBottom w:val="0"/>
          <w:divBdr>
            <w:top w:val="single" w:sz="6" w:space="0" w:color="CECEC6"/>
            <w:left w:val="none" w:sz="0" w:space="0" w:color="auto"/>
            <w:bottom w:val="none" w:sz="0" w:space="0" w:color="auto"/>
            <w:right w:val="none" w:sz="0" w:space="0" w:color="auto"/>
          </w:divBdr>
        </w:div>
      </w:divsChild>
    </w:div>
    <w:div w:id="1366712280">
      <w:bodyDiv w:val="1"/>
      <w:marLeft w:val="0"/>
      <w:marRight w:val="0"/>
      <w:marTop w:val="0"/>
      <w:marBottom w:val="0"/>
      <w:divBdr>
        <w:top w:val="none" w:sz="0" w:space="0" w:color="auto"/>
        <w:left w:val="none" w:sz="0" w:space="0" w:color="auto"/>
        <w:bottom w:val="none" w:sz="0" w:space="0" w:color="auto"/>
        <w:right w:val="none" w:sz="0" w:space="0" w:color="auto"/>
      </w:divBdr>
    </w:div>
    <w:div w:id="1396709297">
      <w:bodyDiv w:val="1"/>
      <w:marLeft w:val="0"/>
      <w:marRight w:val="0"/>
      <w:marTop w:val="0"/>
      <w:marBottom w:val="0"/>
      <w:divBdr>
        <w:top w:val="none" w:sz="0" w:space="0" w:color="auto"/>
        <w:left w:val="none" w:sz="0" w:space="0" w:color="auto"/>
        <w:bottom w:val="none" w:sz="0" w:space="0" w:color="auto"/>
        <w:right w:val="none" w:sz="0" w:space="0" w:color="auto"/>
      </w:divBdr>
      <w:divsChild>
        <w:div w:id="1139692564">
          <w:marLeft w:val="0"/>
          <w:marRight w:val="0"/>
          <w:marTop w:val="0"/>
          <w:marBottom w:val="0"/>
          <w:divBdr>
            <w:top w:val="single" w:sz="6" w:space="0" w:color="CECEC6"/>
            <w:left w:val="none" w:sz="0" w:space="0" w:color="auto"/>
            <w:bottom w:val="none" w:sz="0" w:space="0" w:color="auto"/>
            <w:right w:val="none" w:sz="0" w:space="0" w:color="auto"/>
          </w:divBdr>
        </w:div>
      </w:divsChild>
    </w:div>
    <w:div w:id="1510291771">
      <w:bodyDiv w:val="1"/>
      <w:marLeft w:val="0"/>
      <w:marRight w:val="0"/>
      <w:marTop w:val="0"/>
      <w:marBottom w:val="0"/>
      <w:divBdr>
        <w:top w:val="none" w:sz="0" w:space="0" w:color="auto"/>
        <w:left w:val="none" w:sz="0" w:space="0" w:color="auto"/>
        <w:bottom w:val="none" w:sz="0" w:space="0" w:color="auto"/>
        <w:right w:val="none" w:sz="0" w:space="0" w:color="auto"/>
      </w:divBdr>
      <w:divsChild>
        <w:div w:id="1289823832">
          <w:marLeft w:val="0"/>
          <w:marRight w:val="0"/>
          <w:marTop w:val="0"/>
          <w:marBottom w:val="0"/>
          <w:divBdr>
            <w:top w:val="single" w:sz="6" w:space="0" w:color="CECEC6"/>
            <w:left w:val="none" w:sz="0" w:space="0" w:color="auto"/>
            <w:bottom w:val="none" w:sz="0" w:space="0" w:color="auto"/>
            <w:right w:val="none" w:sz="0" w:space="0" w:color="auto"/>
          </w:divBdr>
        </w:div>
      </w:divsChild>
    </w:div>
    <w:div w:id="1763985650">
      <w:bodyDiv w:val="1"/>
      <w:marLeft w:val="0"/>
      <w:marRight w:val="0"/>
      <w:marTop w:val="0"/>
      <w:marBottom w:val="0"/>
      <w:divBdr>
        <w:top w:val="none" w:sz="0" w:space="0" w:color="auto"/>
        <w:left w:val="none" w:sz="0" w:space="0" w:color="auto"/>
        <w:bottom w:val="none" w:sz="0" w:space="0" w:color="auto"/>
        <w:right w:val="none" w:sz="0" w:space="0" w:color="auto"/>
      </w:divBdr>
      <w:divsChild>
        <w:div w:id="1140459383">
          <w:blockQuote w:val="1"/>
          <w:marLeft w:val="0"/>
          <w:marRight w:val="0"/>
          <w:marTop w:val="0"/>
          <w:marBottom w:val="150"/>
          <w:divBdr>
            <w:top w:val="none" w:sz="0" w:space="8" w:color="auto"/>
            <w:left w:val="single" w:sz="12" w:space="8" w:color="FFEB8E"/>
            <w:bottom w:val="none" w:sz="0" w:space="8" w:color="auto"/>
            <w:right w:val="none" w:sz="0" w:space="8"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theyeshivaworld.com/news/headlines-breaking-stories/312957/lakewood-growth-second-highest-in-new-jersey-in-new-census.html" TargetMode="External"/><Relationship Id="rId1" Type="http://schemas.openxmlformats.org/officeDocument/2006/relationships/hyperlink" Target="http://www.ushmm.org/exhibition/displaced-persons/update.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ppData\Roaming\Microsoft\Templates\Source%20Shee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Source Sheets.dotx</Template>
  <TotalTime>0</TotalTime>
  <Pages>3</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2016-02-04T15:48:00Z</dcterms:created>
  <dcterms:modified xsi:type="dcterms:W3CDTF">2016-02-04T17:50:00Z</dcterms:modified>
</cp:coreProperties>
</file>