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DC7E" w14:textId="77777777" w:rsidR="008E3BD3" w:rsidRPr="008E3BD3" w:rsidRDefault="008E3BD3" w:rsidP="00B35AD8">
      <w:pPr>
        <w:pStyle w:val="Title"/>
        <w:bidi/>
        <w:rPr>
          <w:rtl/>
        </w:rPr>
      </w:pPr>
      <w:r w:rsidRPr="00B35AD8">
        <w:rPr>
          <w:rFonts w:hint="cs"/>
          <w:sz w:val="72"/>
          <w:szCs w:val="72"/>
          <w:rtl/>
        </w:rPr>
        <w:t>עזר לצבי</w:t>
      </w:r>
    </w:p>
    <w:p w14:paraId="45EBB45A" w14:textId="7AF5D271" w:rsidR="008E3BD3" w:rsidRPr="008E3BD3" w:rsidRDefault="00882F1C" w:rsidP="008E3BD3">
      <w:pPr>
        <w:pStyle w:val="Subtitle"/>
        <w:rPr>
          <w:rtl/>
        </w:rPr>
      </w:pPr>
      <w:r>
        <w:rPr>
          <w:rFonts w:hint="cs"/>
          <w:rtl/>
        </w:rPr>
        <w:t>איני יודע, ראו כולם לחובה, גדר רבו מובהק</w:t>
      </w:r>
    </w:p>
    <w:p w14:paraId="7E72ADCB" w14:textId="33CBE13E" w:rsidR="008E3BD3" w:rsidRDefault="008D4F18" w:rsidP="008E3BD3">
      <w:pPr>
        <w:pStyle w:val="Heading1"/>
      </w:pPr>
      <w:r>
        <w:rPr>
          <w:rFonts w:hint="cs"/>
          <w:rtl/>
        </w:rPr>
        <w:t>איני יודע</w:t>
      </w:r>
    </w:p>
    <w:p w14:paraId="4D5FE034" w14:textId="3F751F9B" w:rsidR="00394603" w:rsidRDefault="00394603" w:rsidP="008E3BD3">
      <w:pPr>
        <w:pStyle w:val="Heading2"/>
        <w:rPr>
          <w:rtl/>
        </w:rPr>
      </w:pPr>
      <w:r>
        <w:rPr>
          <w:rFonts w:hint="cs"/>
          <w:rtl/>
        </w:rPr>
        <w:t xml:space="preserve">מפניני הרב עמ' רפא </w:t>
      </w:r>
      <w:r>
        <w:rPr>
          <w:rtl/>
        </w:rPr>
        <w:t>–</w:t>
      </w:r>
      <w:r>
        <w:rPr>
          <w:rFonts w:hint="cs"/>
          <w:rtl/>
        </w:rPr>
        <w:t xml:space="preserve"> ר' שמעון שקאפ</w:t>
      </w:r>
    </w:p>
    <w:p w14:paraId="1082416E" w14:textId="740DB82F" w:rsidR="008E3BD3" w:rsidRDefault="008D4F18" w:rsidP="008E3BD3">
      <w:pPr>
        <w:pStyle w:val="Heading2"/>
        <w:rPr>
          <w:rtl/>
        </w:rPr>
      </w:pPr>
      <w:r>
        <w:rPr>
          <w:rFonts w:hint="cs"/>
          <w:rtl/>
        </w:rPr>
        <w:t>רמב"ם הלכות סנהדרין ח:א-ב</w:t>
      </w:r>
    </w:p>
    <w:p w14:paraId="4680AD5E" w14:textId="77777777" w:rsidR="008D4F18" w:rsidRDefault="008D4F18" w:rsidP="008D4F18">
      <w:pPr>
        <w:rPr>
          <w:rtl/>
        </w:rPr>
      </w:pPr>
      <w:r>
        <w:rPr>
          <w:rtl/>
        </w:rPr>
        <w:t>הלכה א</w:t>
      </w:r>
    </w:p>
    <w:p w14:paraId="5187BF79" w14:textId="77777777" w:rsidR="008D4F18" w:rsidRDefault="008D4F18" w:rsidP="008D4F18">
      <w:pPr>
        <w:rPr>
          <w:rtl/>
        </w:rPr>
      </w:pPr>
      <w:r>
        <w:rPr>
          <w:rtl/>
        </w:rPr>
        <w:t xml:space="preserve">בית דין שנחלקו מקצתם אומרים זכאי ומקצתם אומרים חייב הולכין אחר הרוב, וזו מצות עשה של תורה שנאמר אחרי רבים להטות, במה דברים אמורים בדיני ממונות ובשאר דיני אסור ומותר וטמא וטהור וכיוצא בהן, אבל בדיני נפשות אם נחלקו בזה החוטא אם יהרג או לא יהרג, אם היו הרוב מזכים זכאי ואם היו הרוב מחייבין אינו נהרג עד שיהיו המחייבין יתר על המזכים שנים, מפי השמועה למדו שעל זה הזהירה תורה ואמרה לא תהיה אחרי רבים לרעות, כלומר אם הרוב נוטים לרעה להרוג לא תהיה אחריהם עד שיטו הטייה גדולה ויוסיפו המחייבין שנים, שנאמר לנטות אחרי רבים להטות הטייתך לטובה על פי אחד לרעה על פי שנים, וכל אלו הדברים קבלה הם.  </w:t>
      </w:r>
    </w:p>
    <w:p w14:paraId="5FC95401" w14:textId="7DE5A21B" w:rsidR="008D4F18" w:rsidRDefault="008D4F18" w:rsidP="008D4F18">
      <w:pPr>
        <w:rPr>
          <w:rtl/>
        </w:rPr>
      </w:pPr>
      <w:r>
        <w:rPr>
          <w:rtl/>
        </w:rPr>
        <w:t>הלכה ב</w:t>
      </w:r>
    </w:p>
    <w:p w14:paraId="7014D606" w14:textId="64BAC41F" w:rsidR="008E3BD3" w:rsidRDefault="008D4F18" w:rsidP="008D4F18">
      <w:pPr>
        <w:rPr>
          <w:sz w:val="18"/>
          <w:szCs w:val="18"/>
          <w:rtl/>
        </w:rPr>
      </w:pPr>
      <w:r>
        <w:rPr>
          <w:rtl/>
        </w:rPr>
        <w:t xml:space="preserve">בית דין של שלשה שנחלקו שנים אומרים זכאי ואחד אומר חייב הרי זה זכאי, שנים אומרים חייב ואחד אומר זכאי הרי זה חייב, אחד אומר זכאי ואחד אומר חייב ואחד אומר איני יודע, או שאמרו שנים זכאי או חייב והשלישי אומר איני יודע יוסיפו הדיינים שנים, נמצאו חמשה נושאים ונותנים בדבר אמרו שלשה מהם זכאי ושנים אומרים חייב הרי זה זכאי, אמרו שלשה חייב ושנים זכאי הרי זה חייב, אמרו שנים מהם זכאי ושנים מהם חייב ואחד אומר איני יודע מוסיפין שנים, אבל אם אמרו ארבעה זכאי או חייב ואחד אומר איני יודע, או שאמרו שלשה זכאי ואחד חייב ואמר אחד איני יודע בין שהיה זה שאמר איני יודע הוא שאמר איני יודע בתחלה בין שאמר אחר הולכים אחר הרוב, היו מחצה למחצה ואחד אומר איני יודע הרי אלו מוסיפין שנים אחרים, וכן אם נסתפק הדבר מוסיפין והולכין עד שבעים ואחד, הגיעו לשבעים ואחד ואמרו שלשים וחמשה חייב ושלשים וחמשה זכאי ואחד אומר איני יודע נושאים ונותנים עמו עד שיחזור לדברי הצד האחד ונמצאו שלשים וששה מזכים או מחייבין, ואם לא חזר לא הוא ולא אחד מהן הרי הדבר ספק ומעמידין את הממון בחזקת בעליו. </w:t>
      </w:r>
      <w:r w:rsidRPr="008D4F18">
        <w:rPr>
          <w:sz w:val="18"/>
          <w:szCs w:val="18"/>
          <w:rtl/>
        </w:rPr>
        <w:t>+/השגת הראב"ד/ נמצאו חמשה נושאים ונותנים בדבר וכו' עד הולכין אחר הרוב. א"א אני רואה בגמרא שאותו שאמר איני יודע אינו מן המנין ואי אמר טעמא לא שמעינן ליה נמצא לאחר שהוסיפו אינן אלא ארבעה ועוד הראשון הרי הוא אומר איני יודע ואינו לא מזכה ולא מחייב בידוע שטעה בלשון התוספתא או שהגיעה לידו בטעות ואם אמר אחד מהן איני יודע והשלשה שנים מזכין או מחייבין ואחד חולק לפי דבריו ילכו אחר הרוב שהרי נשאר שם ב"ד ואם לא אמר אחד איני יודע והיו שנים כנגד שנים דנין אלו כנגד אלו ואם לא חזר אחד מהן יעמוד הממון במקומו ומגיעין לעולם לשבעים ואחד אלא שבלשון התוספתא מוכיח שאף בדיני ממונות מוסיפין והולכין עד שיגמר הדין ואין גמר הדין אלא אחר הרוב אבל ספק אינו גמר דין מ"מ עד שבעים ואחד ולא יותר וזה המחבר לקח מן התוספתא וחיסר ממנה אחד אומר זכאי ואחד אומר איני יודע יוסיפו הדיינין שעד עכשיו לא הוסיפו אלא אחד פירוש זה שאמר איני יודע מן הנוספים הוא וטעם יפה הוא עכ"ל.+</w:t>
      </w:r>
    </w:p>
    <w:p w14:paraId="6C02BE90" w14:textId="00A301BF" w:rsidR="00E964E5" w:rsidRDefault="00E964E5" w:rsidP="00E964E5">
      <w:pPr>
        <w:pStyle w:val="Heading2"/>
        <w:rPr>
          <w:rtl/>
        </w:rPr>
      </w:pPr>
      <w:r>
        <w:rPr>
          <w:rFonts w:hint="cs"/>
          <w:rtl/>
        </w:rPr>
        <w:t>כסף משנה שם</w:t>
      </w:r>
    </w:p>
    <w:p w14:paraId="2A027A25" w14:textId="3E644500" w:rsidR="00394603" w:rsidRPr="00394603" w:rsidRDefault="00394603" w:rsidP="002D6C2F">
      <w:pPr>
        <w:pStyle w:val="Heading2"/>
        <w:rPr>
          <w:color w:val="auto"/>
          <w:sz w:val="22"/>
          <w:szCs w:val="22"/>
          <w:shd w:val="clear" w:color="auto" w:fill="auto"/>
          <w:rtl/>
        </w:rPr>
      </w:pPr>
      <w:r w:rsidRPr="00394603">
        <w:rPr>
          <w:color w:val="auto"/>
          <w:sz w:val="22"/>
          <w:szCs w:val="22"/>
          <w:shd w:val="clear" w:color="auto" w:fill="auto"/>
          <w:rtl/>
        </w:rPr>
        <w:t xml:space="preserve">  כתב הראב"ד א"א רואה אני בגמרא וכו'. טעמו של הראב"ד מדאמרינן בסוף פ"ק דסנהדרין (דף י"ז) ההוא דאמר איני יודע כמאן דליתיה דמי ואי אמר טעמא לא שמעינן ליה וסבור לראב"ד דבין בדיני ממונות בין בדיני נפשות קאמר ורבינו סובר דלא קאמר אלא בדיני נפשות דוקא והטעם אכתוב בפרק שאחר זה</w:t>
      </w:r>
      <w:r w:rsidR="002D6C2F">
        <w:rPr>
          <w:rFonts w:hint="cs"/>
          <w:color w:val="auto"/>
          <w:sz w:val="22"/>
          <w:szCs w:val="22"/>
          <w:shd w:val="clear" w:color="auto" w:fill="auto"/>
          <w:rtl/>
        </w:rPr>
        <w:t>...</w:t>
      </w:r>
    </w:p>
    <w:p w14:paraId="0886A8AC" w14:textId="3C14B675" w:rsidR="00394603" w:rsidRPr="00394603" w:rsidRDefault="00394603" w:rsidP="00394603">
      <w:pPr>
        <w:rPr>
          <w:rtl/>
        </w:rPr>
      </w:pPr>
      <w:r w:rsidRPr="00394603">
        <w:rPr>
          <w:rtl/>
        </w:rPr>
        <w:t xml:space="preserve">  כתב הרמ"ך אם ארבעה אומרים זכאי או חייב וכו'. אע"פ שלא פירשו כן רבותי יפה פירש זה הרב דכיון דאיכא שלשה שיודעים בדיני ממונות אבל בדיני נפשות לא אמרינן הכי כדמוכח בשמעתין ולפי סוגית הגמ' לא נראה דברי הרב דהא חזינא בפ"ק (ה':) דמקשה לשמואל משנים אומרים זכאי ואחד אומר איני יודע דאמרינן יוסיפו הדיינים ומקשה ואמאי ולהוי כשנים שדנו ומתרץ שאני התם דאדעתא דתלתא יתיבי ה"נ אע"ג דשלשה יכולים לעשות דין לבדם כיון דאדעתא דחמשה יתבי לא יכלי תלתא למגמר דינא עכ"ל. ויש לומר דשאני התם שמתחלה היו שלשה שייך למימר הכי כשאחד אומר איני יודע אבל הכא ליכא למימר אדעתא דארבעה או ה' נחתי מאחר שמתחלה לא היו אלא ג':</w:t>
      </w:r>
    </w:p>
    <w:p w14:paraId="522D0460" w14:textId="2C75252C" w:rsidR="009719FE" w:rsidRDefault="00D555DE" w:rsidP="00D555DE">
      <w:pPr>
        <w:pStyle w:val="Heading2"/>
        <w:rPr>
          <w:rtl/>
        </w:rPr>
      </w:pPr>
      <w:r>
        <w:rPr>
          <w:rFonts w:hint="cs"/>
          <w:rtl/>
        </w:rPr>
        <w:t>ארץ הצבי עמ' רל</w:t>
      </w:r>
    </w:p>
    <w:p w14:paraId="251FD99C" w14:textId="6F336815" w:rsidR="00B079AE" w:rsidRDefault="00B079AE" w:rsidP="00B079AE">
      <w:pPr>
        <w:pStyle w:val="Heading2"/>
        <w:rPr>
          <w:rtl/>
        </w:rPr>
      </w:pPr>
      <w:r>
        <w:rPr>
          <w:rFonts w:hint="cs"/>
          <w:rtl/>
        </w:rPr>
        <w:t>שער משפט יח:א</w:t>
      </w:r>
    </w:p>
    <w:p w14:paraId="222CE90A" w14:textId="0DA4E903" w:rsidR="00B079AE" w:rsidRDefault="00B079AE" w:rsidP="00C5075E">
      <w:pPr>
        <w:pStyle w:val="Heading2"/>
      </w:pPr>
      <w:r>
        <w:rPr>
          <w:rFonts w:hint="cs"/>
          <w:rtl/>
        </w:rPr>
        <w:t>קהילות יעקב סנהדרין סימן ג'</w:t>
      </w:r>
    </w:p>
    <w:p w14:paraId="0A8BC5E0" w14:textId="77A41209" w:rsidR="004C7599" w:rsidRDefault="004C7599" w:rsidP="004C7599">
      <w:pPr>
        <w:pStyle w:val="Heading1"/>
        <w:rPr>
          <w:rtl/>
        </w:rPr>
      </w:pPr>
      <w:r>
        <w:rPr>
          <w:rFonts w:hint="cs"/>
          <w:rtl/>
        </w:rPr>
        <w:lastRenderedPageBreak/>
        <w:t>ראו כולם לחובה</w:t>
      </w:r>
    </w:p>
    <w:p w14:paraId="428346AC" w14:textId="65BC7DED" w:rsidR="00B0356A" w:rsidRDefault="00B0356A" w:rsidP="00E93181">
      <w:pPr>
        <w:pStyle w:val="Heading2"/>
        <w:rPr>
          <w:rtl/>
        </w:rPr>
      </w:pPr>
      <w:r>
        <w:rPr>
          <w:rFonts w:hint="cs"/>
          <w:rtl/>
        </w:rPr>
        <w:t>יד רמה</w:t>
      </w:r>
    </w:p>
    <w:p w14:paraId="7F99ECCC" w14:textId="1E22F059" w:rsidR="00B0356A" w:rsidRPr="00B0356A" w:rsidRDefault="00B0356A" w:rsidP="00B0356A">
      <w:pPr>
        <w:rPr>
          <w:rtl/>
        </w:rPr>
      </w:pPr>
      <w:r w:rsidRPr="00B0356A">
        <w:rPr>
          <w:rtl/>
        </w:rPr>
        <w:t>אמר רב כהנא סנהדרין שראו כולן לחובה ביום ראשון פוטרין אותו מאי טעמא משום דגמירי הלנת דין שאם לא מצאו לו זכות ביום ראשון צריכין להלין את דינו אולי ימצאו לו זכות למחרת ויראה אחד מן המחייבין דברי המזכין והני כיון דהשתא לא חזי ליה חד מינייהו זכותא תו לא חזי ליה ולא מהני למעבד ליה הלנת דין ובעינא (הוה קרי) [הלנת דין] דחזיא להדורי בתר זכותא וליכא הילכך פטרינן ליה:</w:t>
      </w:r>
    </w:p>
    <w:p w14:paraId="19729391" w14:textId="2C68D679" w:rsidR="004E2D1E" w:rsidRDefault="004E2D1E" w:rsidP="001A7220">
      <w:pPr>
        <w:pStyle w:val="Heading2"/>
        <w:rPr>
          <w:rtl/>
        </w:rPr>
      </w:pPr>
      <w:r>
        <w:rPr>
          <w:rtl/>
        </w:rPr>
        <w:t>רמב"ם הלכות סנהדרין ט</w:t>
      </w:r>
      <w:r w:rsidR="001A7220">
        <w:rPr>
          <w:rFonts w:hint="cs"/>
          <w:rtl/>
        </w:rPr>
        <w:t>:א</w:t>
      </w:r>
    </w:p>
    <w:p w14:paraId="352C77AA" w14:textId="77777777" w:rsidR="002A2203" w:rsidRDefault="004E2D1E" w:rsidP="004E2D1E">
      <w:r>
        <w:rPr>
          <w:rtl/>
        </w:rPr>
        <w:t>סנהדרין שפתחו כולם בדיני נפשות תחלה ואמרו כולן חייב הרי זה פטור עד שיהיו שם מקצת מזכין שיהפכו בזכותו וירבו המחייבין ואחר כך יהרג.</w:t>
      </w:r>
    </w:p>
    <w:p w14:paraId="34147F1A" w14:textId="17C1D6E8" w:rsidR="002A2203" w:rsidRDefault="002A2203" w:rsidP="002A2203">
      <w:pPr>
        <w:pStyle w:val="Heading2"/>
        <w:rPr>
          <w:rtl/>
        </w:rPr>
      </w:pPr>
      <w:r>
        <w:rPr>
          <w:rFonts w:hint="cs"/>
          <w:rtl/>
        </w:rPr>
        <w:t>מהר"ץ חיות סנהדרין יז.</w:t>
      </w:r>
    </w:p>
    <w:p w14:paraId="1CD8C1EE" w14:textId="7700674D" w:rsidR="004E2D1E" w:rsidRDefault="006A23EC" w:rsidP="00F0495C">
      <w:pPr>
        <w:pStyle w:val="Heading2"/>
        <w:rPr>
          <w:rtl/>
        </w:rPr>
      </w:pPr>
      <w:hyperlink r:id="rId6" w:history="1">
        <w:r w:rsidR="002A2203" w:rsidRPr="00F0495C">
          <w:rPr>
            <w:rStyle w:val="Hyperlink"/>
            <w:rFonts w:hint="cs"/>
            <w:rtl/>
          </w:rPr>
          <w:t>מקור ברוך ח"ג פרק כ"ה "פנים חדשות" סעיף א'</w:t>
        </w:r>
        <w:r w:rsidR="00F0495C" w:rsidRPr="00F0495C">
          <w:rPr>
            <w:rStyle w:val="Hyperlink"/>
            <w:rFonts w:hint="cs"/>
            <w:rtl/>
          </w:rPr>
          <w:t xml:space="preserve"> (</w:t>
        </w:r>
        <w:r w:rsidR="00F0495C" w:rsidRPr="00F0495C">
          <w:rPr>
            <w:rStyle w:val="Hyperlink"/>
          </w:rPr>
          <w:t>HebrewBooks.com</w:t>
        </w:r>
      </w:hyperlink>
      <w:r w:rsidR="00F0495C">
        <w:rPr>
          <w:rFonts w:hint="cs"/>
          <w:rtl/>
        </w:rPr>
        <w:t>)</w:t>
      </w:r>
      <w:r w:rsidR="00FE6479">
        <w:rPr>
          <w:rStyle w:val="FootnoteReference"/>
          <w:rtl/>
        </w:rPr>
        <w:footnoteReference w:id="1"/>
      </w:r>
    </w:p>
    <w:p w14:paraId="24FC727E" w14:textId="64A2A9AC" w:rsidR="001A7220" w:rsidRDefault="00126FC6" w:rsidP="001A7220">
      <w:pPr>
        <w:pStyle w:val="Heading2"/>
        <w:rPr>
          <w:rtl/>
        </w:rPr>
      </w:pPr>
      <w:r>
        <w:rPr>
          <w:rFonts w:hint="cs"/>
          <w:rtl/>
        </w:rPr>
        <w:t>אור שמח</w:t>
      </w:r>
      <w:r w:rsidR="001A7220">
        <w:rPr>
          <w:rFonts w:hint="cs"/>
          <w:rtl/>
        </w:rPr>
        <w:t xml:space="preserve"> שם</w:t>
      </w:r>
    </w:p>
    <w:p w14:paraId="4F5413DC" w14:textId="493CB81A" w:rsidR="001A7220" w:rsidRPr="001A7220" w:rsidRDefault="001A7220" w:rsidP="001A7220">
      <w:pPr>
        <w:rPr>
          <w:rtl/>
        </w:rPr>
      </w:pPr>
      <w:r w:rsidRPr="001A7220">
        <w:rPr>
          <w:rtl/>
        </w:rPr>
        <w:t>כן הגירסא בדפוס וויניציא וכן היה לפני המגדול עוז והלחם משנה, וזה ברור דטעמא משום דליכא כאן הלנת דין, דתו לא חזו ליה טעמא לזכות, כיון שאין בהן מתנגד לסברתם, אבל האם בזה נפטר, הלא צריך לקיים ובערת הרע מקרבך, וצריך לדונו בב"ד אחר, דבמה נפסלו העדים, במה שהעידו לפניהם, ודרשו וחקרו, הלא כבר נחקרה עדותן בב"ד, ויכולים הב"ד השני לדון ע"פ קבלת עדות של ב"ד שראו לחובה, ואם יזכוהו הב"ד האחר ילכו לב"ד הגדול, וע"כ דעל ב"ד הגדול קאי, וכיון שחייבו תו אין אדם יכול לדון אחריהם, וכמו שפסק רבינו לקמן הלכה ג', שאחר רוב שלהן דנין, ואין מביטין על ב"ד אחר, ותו אין לדון עליו, ואי אפשר להלין את דינו ומיפטר, וז"ב ודוק:</w:t>
      </w:r>
    </w:p>
    <w:p w14:paraId="2D5A2459" w14:textId="5ADCF41F" w:rsidR="00126FC6" w:rsidRDefault="00126FC6" w:rsidP="00126FC6">
      <w:pPr>
        <w:pStyle w:val="Heading2"/>
        <w:rPr>
          <w:rtl/>
        </w:rPr>
      </w:pPr>
      <w:r w:rsidRPr="00126FC6">
        <w:rPr>
          <w:rtl/>
        </w:rPr>
        <w:t>אור החיים שמות פרשת משפטים פרק כג</w:t>
      </w:r>
      <w:r w:rsidR="006A23EC">
        <w:rPr>
          <w:rFonts w:hint="cs"/>
          <w:rtl/>
        </w:rPr>
        <w:t xml:space="preserve"> פסוק ב</w:t>
      </w:r>
    </w:p>
    <w:p w14:paraId="22DBED61" w14:textId="3553561F" w:rsidR="00126FC6" w:rsidRDefault="00126FC6" w:rsidP="006A23EC">
      <w:pPr>
        <w:rPr>
          <w:rtl/>
        </w:rPr>
      </w:pPr>
      <w:bookmarkStart w:id="0" w:name="_GoBack"/>
      <w:bookmarkEnd w:id="0"/>
      <w:r w:rsidRPr="00126FC6">
        <w:rPr>
          <w:rtl/>
        </w:rPr>
        <w:t>לא תהיה אחרי רבים וגו'. רבותינו ז"ל הרבו לדרוש בפסוק זה אבל אין המקרא מתיישב לפי פשוטו. ונראה לפרש הכתוב לפי מה שאמרה התורה ושפטו העדה והצילו וגו', ואמרו ז"ל (סנהדרין ב' א) עדה שופטת ועדה מצלת אבל אם פתחו כולם לחובה פטור (שם י"ז א) ובא הכתוב כאן להסיר ב' מכשולין אשר יכשל בהם חכם מאמצעות דין זה, הא' בהגיע משפט כזה ויראה חכם אחד מהשופטים שכל חבריו פתחו לחובה והוא חושב בדעתו כי הוא זכאי ויתחכם לומר אם נאמר זכאי הנה הוא יצא חייב כי יש שם עדה שופטת ועדה מצלת ונמצאו דברי עושים הפך דעתי לזה אתחכם ואומר חייב שבזה תהיה סברתי מתקיימת שיצא זכאי מטעם פתחו כולם וכו', וגם אהיה מקיים המוסר לבטל דעתי לפני דעת המרובין שאומרים חייב ונאמר חייב עמהם, לזה בא הכתוב וצוה על זה בדיוק לבל עשותו ואמר לא תהיה אחרי רבים לרעות פירוש כשתהיה סובר סברא אחת שבאומרך דעתך יצא זה הנידון חייב בדינו וכגון שכולם אמרו חייב ואתה חושב זכאי לא תתחכם להיות אחרי רבים שאומרים חייב והוא אומרו לרעות ותאמר אתה כדעתם חייב הפך מה שנראה לך כדי שיצא זכאי כדעתך אלא אמור דעתך כפי מה שידעת במשפטי התורה ואין לך להתחכם על המשפט כי ה' הוא האלהים והוא שאמר פתחו כולם לחובה זכאי לא אמר ה' שיזכה זה אלא אם לך יראה חייב ולא שיראה לך זכאי שאז חייב הוא כמשפט האלהים:</w:t>
      </w:r>
    </w:p>
    <w:p w14:paraId="57B78578" w14:textId="5346492E" w:rsidR="00126FC6" w:rsidRDefault="00126FC6" w:rsidP="00126FC6">
      <w:pPr>
        <w:rPr>
          <w:rtl/>
        </w:rPr>
      </w:pPr>
      <w:r w:rsidRPr="00126FC6">
        <w:rPr>
          <w:rtl/>
        </w:rPr>
        <w:t>עוד יש מכשול ב' במשפט זה באופן אחר והוא אם יראה בעיני חכם שהוא חייב ככל הדיינים שאמרו חייב ורואה שאם יאמר חייב הנה הוא יוצא זכאי הפך דבריו שאומר חייב לזה יתחכם לומר זכאי כדי שיוטה המשפט אחרי רבים שאומרים חייב ויצא חייב כפי סברתו, ויש בזה גם כן כפיית ראש בגמר המשפט לנטות אחרי רבים, לזה אמר ולא תענה על ריב וגו' פירוש לא תענה מענה על ריב לנטות אחרי רבים פירוש שתהיה כוונתך במענך כדי שיהיה כמשפט יחיד ורבים וזה יגיד שאם יגלה דעתו כמות שהוא אין כאן הטייה אחרי רבים אלא כולם בדעת אחת. וביאר הכתוב טעם הקפדתו על הדבר ואמר להטות פירוש כשתהיה כוונתך להטות ממה שבדעתך בעיון משפט התורה שהוא חייב ואתה מטה לומר זכאי כדי שיצא חייב לנטות אחרי רבים ויצא חייב אלא אמור דעתך הגם שיצא זכאי הפך דעתך ה' זכהו. וטעם משפט זה לצד כי ה' יושב במסיבת הדיינים והוא ישפוט בפיהם וכשיראה משפט מרומה ואין בו מציאות לזכות הזכאי יתחכם לפתוח כולן לחובה וצוה שיצא זכאי בזה:</w:t>
      </w:r>
    </w:p>
    <w:p w14:paraId="37ABBE5C" w14:textId="4A1BBEC8" w:rsidR="006D2FFC" w:rsidRPr="006D2FFC" w:rsidRDefault="00F61FBB" w:rsidP="006D2FFC">
      <w:pPr>
        <w:pStyle w:val="Heading2"/>
      </w:pPr>
      <w:r>
        <w:rPr>
          <w:rFonts w:hint="cs"/>
          <w:rtl/>
        </w:rPr>
        <w:t>נפש הרב עמ' סג</w:t>
      </w:r>
    </w:p>
    <w:p w14:paraId="79932741" w14:textId="685259CA" w:rsidR="00B0356A" w:rsidRDefault="00415DA2" w:rsidP="00B0356A">
      <w:pPr>
        <w:pStyle w:val="Heading1"/>
        <w:rPr>
          <w:rtl/>
        </w:rPr>
      </w:pPr>
      <w:r>
        <w:rPr>
          <w:rFonts w:hint="cs"/>
          <w:rtl/>
        </w:rPr>
        <w:lastRenderedPageBreak/>
        <w:t>גדר רבו מובהק</w:t>
      </w:r>
    </w:p>
    <w:p w14:paraId="36EC33B6" w14:textId="32BC02FA" w:rsidR="00415DA2" w:rsidRDefault="00415DA2" w:rsidP="00415DA2">
      <w:pPr>
        <w:pStyle w:val="Heading2"/>
        <w:rPr>
          <w:rtl/>
        </w:rPr>
      </w:pPr>
      <w:r>
        <w:rPr>
          <w:rFonts w:hint="cs"/>
          <w:rtl/>
        </w:rPr>
        <w:t>פסחים כב:</w:t>
      </w:r>
    </w:p>
    <w:p w14:paraId="71CAF9B9" w14:textId="3FC80B28" w:rsidR="00415DA2" w:rsidRPr="00415DA2" w:rsidRDefault="00415DA2" w:rsidP="00415DA2">
      <w:pPr>
        <w:rPr>
          <w:rtl/>
        </w:rPr>
      </w:pPr>
      <w:r w:rsidRPr="00415DA2">
        <w:rPr>
          <w:rtl/>
        </w:rPr>
        <w:t>כדתניא: שמעון העמסוני, ואמרי לה נחמיה העמסוני, היה דורש כל אתים שבתורה. כיון שהגיע חלאת ה' אלהיך תירא - פירש. אמרו לו תלמידיו: רבי, כל אתים שדרשת מה תהא עליהן? - אמר להם: כשם שקבלתי שכר על הדרישה, כך אני מקבל שכר על הפרישה. עד שבא רבי עקיבא ודרש: את ה' אלהיך תירא - לרבות תלמידי חכמים.</w:t>
      </w:r>
    </w:p>
    <w:p w14:paraId="3A6566AB" w14:textId="3FF109A7" w:rsidR="00487A47" w:rsidRDefault="00487A47" w:rsidP="0030212A">
      <w:pPr>
        <w:pStyle w:val="Heading2"/>
        <w:rPr>
          <w:rtl/>
        </w:rPr>
      </w:pPr>
      <w:r>
        <w:rPr>
          <w:rFonts w:hint="cs"/>
          <w:rtl/>
        </w:rPr>
        <w:t>תוספות בבא קמא מא:</w:t>
      </w:r>
      <w:r w:rsidR="002F7902">
        <w:rPr>
          <w:rFonts w:hint="cs"/>
          <w:rtl/>
        </w:rPr>
        <w:t xml:space="preserve"> ד"ה , ברכות לא: ד"ה מורה</w:t>
      </w:r>
    </w:p>
    <w:p w14:paraId="64813B1F" w14:textId="43AF6292" w:rsidR="0030212A" w:rsidRDefault="0030212A" w:rsidP="0030212A">
      <w:pPr>
        <w:pStyle w:val="Heading2"/>
        <w:rPr>
          <w:rtl/>
        </w:rPr>
      </w:pPr>
      <w:r w:rsidRPr="0030212A">
        <w:rPr>
          <w:rtl/>
        </w:rPr>
        <w:t>שולחן ערוך יורה דעה</w:t>
      </w:r>
      <w:r>
        <w:rPr>
          <w:rtl/>
        </w:rPr>
        <w:t xml:space="preserve"> הלכות כבוד רבו ותלמיד חכם </w:t>
      </w:r>
      <w:r w:rsidRPr="0030212A">
        <w:rPr>
          <w:rtl/>
        </w:rPr>
        <w:t>רמד</w:t>
      </w:r>
      <w:r>
        <w:rPr>
          <w:rFonts w:hint="cs"/>
          <w:rtl/>
        </w:rPr>
        <w:t>:י</w:t>
      </w:r>
    </w:p>
    <w:p w14:paraId="50E812AC" w14:textId="339687F7" w:rsidR="0030212A" w:rsidRDefault="0030212A" w:rsidP="0030212A">
      <w:pPr>
        <w:rPr>
          <w:sz w:val="18"/>
          <w:szCs w:val="18"/>
          <w:rtl/>
        </w:rPr>
      </w:pPr>
      <w:r>
        <w:rPr>
          <w:rtl/>
        </w:rPr>
        <w:t>אם הו</w:t>
      </w:r>
      <w:r>
        <w:rPr>
          <w:rFonts w:hint="cs"/>
          <w:rtl/>
        </w:rPr>
        <w:t>א</w:t>
      </w:r>
      <w:r w:rsidRPr="0030212A">
        <w:rPr>
          <w:rtl/>
        </w:rPr>
        <w:t xml:space="preserve"> מופלג בחכמה, אפילו אינו רבו, דינו כרבו מובהק. </w:t>
      </w:r>
      <w:r w:rsidRPr="0030212A">
        <w:rPr>
          <w:sz w:val="18"/>
          <w:szCs w:val="18"/>
          <w:rtl/>
        </w:rPr>
        <w:t>(מי שהוא גדול הדור ומפורסם בדורו בכך, נקרא מופלג בחכמה). ( ת"ה סימן קל"ח ותוס').</w:t>
      </w:r>
      <w:r w:rsidR="006560A8">
        <w:rPr>
          <w:rStyle w:val="FootnoteReference"/>
          <w:sz w:val="18"/>
          <w:szCs w:val="18"/>
          <w:rtl/>
        </w:rPr>
        <w:footnoteReference w:id="2"/>
      </w:r>
    </w:p>
    <w:p w14:paraId="335D9AD7" w14:textId="68E482E5" w:rsidR="00487A47" w:rsidRDefault="00487A47" w:rsidP="006A23EC">
      <w:pPr>
        <w:pStyle w:val="Heading2"/>
        <w:rPr>
          <w:rtl/>
        </w:rPr>
      </w:pPr>
      <w:r>
        <w:rPr>
          <w:rFonts w:hint="cs"/>
          <w:rtl/>
        </w:rPr>
        <w:t>נפש הרב עמ' לא, סב</w:t>
      </w:r>
    </w:p>
    <w:p w14:paraId="217E76A4" w14:textId="1274450B" w:rsidR="00F259AB" w:rsidRDefault="00F259AB" w:rsidP="006A23EC">
      <w:pPr>
        <w:pStyle w:val="Heading2"/>
        <w:rPr>
          <w:rtl/>
        </w:rPr>
      </w:pPr>
      <w:r>
        <w:rPr>
          <w:rFonts w:hint="cs"/>
          <w:rtl/>
        </w:rPr>
        <w:t>דברי הרב עמ' שט</w:t>
      </w:r>
    </w:p>
    <w:p w14:paraId="118967C7" w14:textId="20A8D95A" w:rsidR="00F259AB" w:rsidRPr="00F259AB" w:rsidRDefault="006D2FFC" w:rsidP="006D2FFC">
      <w:pPr>
        <w:pStyle w:val="Heading1"/>
        <w:rPr>
          <w:rtl/>
        </w:rPr>
      </w:pPr>
      <w:r>
        <w:rPr>
          <w:rFonts w:hint="cs"/>
          <w:rtl/>
        </w:rPr>
        <w:t>חמרא וחיי מבעל כנסת הגדולה</w:t>
      </w:r>
    </w:p>
    <w:p w14:paraId="79BC3B53" w14:textId="3A4901A6" w:rsidR="00487A47" w:rsidRDefault="006D2FFC" w:rsidP="006D2FFC">
      <w:pPr>
        <w:pStyle w:val="Heading2"/>
        <w:rPr>
          <w:rtl/>
        </w:rPr>
      </w:pPr>
      <w:r w:rsidRPr="006D2FFC">
        <w:rPr>
          <w:rtl/>
        </w:rPr>
        <w:t>שם הגדולים מערכת גדולים אות ח [יז] מה' חיים בנבנשת</w:t>
      </w:r>
    </w:p>
    <w:p w14:paraId="1DD10025" w14:textId="47D95B2A" w:rsidR="006D2FFC" w:rsidRDefault="00E40673" w:rsidP="00E40673">
      <w:pPr>
        <w:rPr>
          <w:rtl/>
        </w:rPr>
      </w:pPr>
      <w:r w:rsidRPr="00E40673">
        <w:rPr>
          <w:rtl/>
        </w:rPr>
        <w:t xml:space="preserve">הרב הנזכר מאיר עיני גולה הוא בספרי כנסת הגדולה אשר נדפסו בשמונה חלקים ובלעדו לא ירים איש מורה הוראה הבקי בדרכי הוראה והוא מיראי הוראה את ידו בשום הוראה עד שילך מהרה לבית הכנסת ויראה מה בפיו ומה ירמזון עיני חכמתו. ואחר צאתו מבית הכנסת בנחת רוח יערה יורה יורה. וכבר הפליג מהר"ר ישראל פואה בשבחו בתשובה כי באה בשו"ת הרב הנדפסות ח"ב מא"ח גם הרב המגן לא זו מחבבו לס' כנה"ג כמ"ש הרב המני"ח משמו בשו"ת הלכות קטנות. ולמפורסמות אין צריך ראיה ידעי רבנן מורי הוראות יושבי כסאות ומחברי ספרים כי גבר עלינו חסדו ויסגור ה' בעדו כן יתן לידידו כח לעשות חיל ברוך שם כבודו ועשה הרב מהדורא בתרא לחלק א"ח ולקצת ח"מ אשר העלה ואשר הביא על מזבח הדפוס קרא בשם שיירי כנה"ג. ואת היותר חיבר המהדורות קמא ובתרא והיו לאחדים. ולכן לא </w:t>
      </w:r>
      <w:r>
        <w:rPr>
          <w:rtl/>
        </w:rPr>
        <w:t>יצדק שם שיירי על חלק י"ד האחרון</w:t>
      </w:r>
    </w:p>
    <w:p w14:paraId="788B2F86" w14:textId="242864D4" w:rsidR="006D2FFC" w:rsidRDefault="00E40673" w:rsidP="00E40673">
      <w:pPr>
        <w:rPr>
          <w:rtl/>
        </w:rPr>
      </w:pPr>
      <w:r>
        <w:rPr>
          <w:rFonts w:hint="cs"/>
          <w:rtl/>
        </w:rPr>
        <w:t>...</w:t>
      </w:r>
      <w:r w:rsidRPr="00E40673">
        <w:rPr>
          <w:rtl/>
        </w:rPr>
        <w:t xml:space="preserve"> וגם ראיתי שיטת סנהדרין כ"י מהרב.</w:t>
      </w:r>
    </w:p>
    <w:p w14:paraId="3CB0EDE9" w14:textId="5E134383" w:rsidR="006D2FFC" w:rsidRPr="00E40673" w:rsidRDefault="006A23EC" w:rsidP="00B67296">
      <w:pPr>
        <w:pStyle w:val="Heading2"/>
      </w:pPr>
      <w:hyperlink r:id="rId7" w:history="1">
        <w:r w:rsidR="00B67296" w:rsidRPr="00B67296">
          <w:rPr>
            <w:rStyle w:val="Hyperlink"/>
            <w:rFonts w:hint="cs"/>
            <w:rtl/>
          </w:rPr>
          <w:t>ויקיפידיה</w:t>
        </w:r>
      </w:hyperlink>
    </w:p>
    <w:sectPr w:rsidR="006D2FFC" w:rsidRPr="00E406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42C4" w14:textId="77777777" w:rsidR="00B35AD8" w:rsidRDefault="00B35AD8" w:rsidP="008E3BD3">
      <w:r>
        <w:separator/>
      </w:r>
    </w:p>
  </w:endnote>
  <w:endnote w:type="continuationSeparator" w:id="0">
    <w:p w14:paraId="3DB74C91" w14:textId="77777777" w:rsidR="00B35AD8" w:rsidRDefault="00B35AD8"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8942"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FC128" w14:textId="77777777" w:rsidR="00B35AD8" w:rsidRDefault="00B35AD8" w:rsidP="008E3BD3">
      <w:r>
        <w:separator/>
      </w:r>
    </w:p>
  </w:footnote>
  <w:footnote w:type="continuationSeparator" w:id="0">
    <w:p w14:paraId="15CB368F" w14:textId="77777777" w:rsidR="00B35AD8" w:rsidRDefault="00B35AD8" w:rsidP="008E3BD3">
      <w:r>
        <w:continuationSeparator/>
      </w:r>
    </w:p>
  </w:footnote>
  <w:footnote w:id="1">
    <w:p w14:paraId="4EA233B3" w14:textId="2E898834" w:rsidR="00FE6479" w:rsidRDefault="00FE6479">
      <w:pPr>
        <w:pStyle w:val="FootnoteText"/>
      </w:pPr>
      <w:r>
        <w:rPr>
          <w:rStyle w:val="FootnoteReference"/>
        </w:rPr>
        <w:footnoteRef/>
      </w:r>
      <w:r>
        <w:rPr>
          <w:rtl/>
        </w:rPr>
        <w:t xml:space="preserve"> </w:t>
      </w:r>
      <w:r>
        <w:rPr>
          <w:rFonts w:hint="cs"/>
          <w:rtl/>
        </w:rPr>
        <w:t>ע"ע ערוך השלחן חו"מ סימן יח סוף סעיף ז</w:t>
      </w:r>
    </w:p>
  </w:footnote>
  <w:footnote w:id="2">
    <w:p w14:paraId="30EADA7C" w14:textId="4DB36D90" w:rsidR="006560A8" w:rsidRPr="006560A8" w:rsidRDefault="006560A8">
      <w:pPr>
        <w:pStyle w:val="FootnoteText"/>
        <w:rPr>
          <w:rtl/>
        </w:rPr>
      </w:pPr>
      <w:r>
        <w:rPr>
          <w:rStyle w:val="FootnoteReference"/>
        </w:rPr>
        <w:footnoteRef/>
      </w:r>
      <w:r>
        <w:rPr>
          <w:rtl/>
        </w:rPr>
        <w:t xml:space="preserve"> </w:t>
      </w:r>
      <w:r>
        <w:rPr>
          <w:rFonts w:hint="cs"/>
          <w:rtl/>
        </w:rPr>
        <w:t xml:space="preserve">ע"ע </w:t>
      </w:r>
      <w:r w:rsidR="001E7C4D">
        <w:rPr>
          <w:rFonts w:hint="cs"/>
          <w:rtl/>
        </w:rPr>
        <w:t>ב</w:t>
      </w:r>
      <w:r w:rsidR="00755564">
        <w:rPr>
          <w:rFonts w:hint="cs"/>
          <w:rtl/>
        </w:rPr>
        <w:t xml:space="preserve">שו"ת </w:t>
      </w:r>
      <w:r w:rsidR="001E7C4D">
        <w:rPr>
          <w:rFonts w:hint="cs"/>
          <w:rtl/>
        </w:rPr>
        <w:t>י</w:t>
      </w:r>
      <w:r w:rsidR="001E7C4D" w:rsidRPr="001E7C4D">
        <w:rPr>
          <w:rtl/>
        </w:rPr>
        <w:t>חוה דעת ח"ג סי' עב</w:t>
      </w:r>
      <w:r w:rsidR="001E7C4D">
        <w:rPr>
          <w:rFonts w:hint="cs"/>
          <w:rtl/>
        </w:rPr>
        <w:t>, וב</w:t>
      </w:r>
      <w:r w:rsidRPr="006560A8">
        <w:rPr>
          <w:rtl/>
        </w:rPr>
        <w:t>ילקוט יוסף דינים לאשה ולבת הערות פרק נג - מפני שיבה תקום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CB62" w14:textId="1965E88A" w:rsidR="008E3BD3" w:rsidRDefault="00A6021F" w:rsidP="00B35AD8">
    <w:pPr>
      <w:jc w:val="center"/>
    </w:pPr>
    <w:r w:rsidRPr="008E3BD3">
      <w:rPr>
        <w:rtl/>
      </w:rPr>
      <w:t>הרב צבי שכטר</w:t>
    </w:r>
    <w:r>
      <w:tab/>
    </w:r>
    <w:r w:rsidR="00DF5C70">
      <w:rPr>
        <w:rtl/>
      </w:rPr>
      <w:tab/>
    </w:r>
    <w:r>
      <w:tab/>
    </w:r>
    <w:r>
      <w:rPr>
        <w:rFonts w:hint="cs"/>
        <w:rtl/>
      </w:rPr>
      <w:t xml:space="preserve">   </w:t>
    </w:r>
    <w:r w:rsidR="00B35AD8">
      <w:rPr>
        <w:rtl/>
      </w:rPr>
      <w:tab/>
    </w:r>
    <w:r w:rsidR="00B35AD8">
      <w:rPr>
        <w:rFonts w:hint="cs"/>
        <w:rtl/>
      </w:rPr>
      <w:t xml:space="preserve">   </w:t>
    </w:r>
    <w:r w:rsidR="00B35AD8" w:rsidRPr="00B35AD8">
      <w:rPr>
        <w:rtl/>
      </w:rPr>
      <w:t>‏כ"ג שבט תשע"ו</w:t>
    </w:r>
    <w:r w:rsidR="00B35AD8" w:rsidRPr="00B35AD8">
      <w:rPr>
        <w:rtl/>
      </w:rPr>
      <w:tab/>
    </w:r>
    <w:r w:rsidR="00DF5C70">
      <w:rPr>
        <w:rtl/>
      </w:rPr>
      <w:tab/>
    </w:r>
    <w:r w:rsidR="00B35AD8">
      <w:rPr>
        <w:rtl/>
      </w:rPr>
      <w:tab/>
    </w:r>
    <w:r>
      <w:rPr>
        <w:rFonts w:hint="cs"/>
        <w:rtl/>
      </w:rPr>
      <w:t xml:space="preserve"> ש</w:t>
    </w:r>
    <w:r w:rsidR="00B35AD8">
      <w:rPr>
        <w:rtl/>
      </w:rPr>
      <w:t xml:space="preserve">יעור </w:t>
    </w:r>
    <w:r w:rsidR="00B35AD8">
      <w:rPr>
        <w:rFonts w:hint="cs"/>
        <w:rtl/>
      </w:rPr>
      <w:t>ס"א</w:t>
    </w:r>
    <w:r w:rsidR="00A675FD">
      <w:rPr>
        <w:rtl/>
      </w:rPr>
      <w:t xml:space="preserve"> - מס' סנהדרין </w:t>
    </w:r>
    <w:r w:rsidR="00A675FD">
      <w:rPr>
        <w:rFonts w:hint="cs"/>
        <w:rtl/>
      </w:rPr>
      <w:t>יז.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D8"/>
    <w:rsid w:val="000F7902"/>
    <w:rsid w:val="00111610"/>
    <w:rsid w:val="00125C0B"/>
    <w:rsid w:val="00126FC6"/>
    <w:rsid w:val="001A7220"/>
    <w:rsid w:val="001E7C4D"/>
    <w:rsid w:val="002A2203"/>
    <w:rsid w:val="002D6C2F"/>
    <w:rsid w:val="002F7902"/>
    <w:rsid w:val="0030212A"/>
    <w:rsid w:val="00394603"/>
    <w:rsid w:val="00415DA2"/>
    <w:rsid w:val="00487A47"/>
    <w:rsid w:val="004C7599"/>
    <w:rsid w:val="004E2D1E"/>
    <w:rsid w:val="005B37F8"/>
    <w:rsid w:val="006560A8"/>
    <w:rsid w:val="006A23EC"/>
    <w:rsid w:val="006D2FFC"/>
    <w:rsid w:val="00755564"/>
    <w:rsid w:val="007A4624"/>
    <w:rsid w:val="00816755"/>
    <w:rsid w:val="00882F1C"/>
    <w:rsid w:val="008D4F18"/>
    <w:rsid w:val="008E3BD3"/>
    <w:rsid w:val="009043CA"/>
    <w:rsid w:val="009719FE"/>
    <w:rsid w:val="00A076B1"/>
    <w:rsid w:val="00A6021F"/>
    <w:rsid w:val="00A675FD"/>
    <w:rsid w:val="00B0356A"/>
    <w:rsid w:val="00B079AE"/>
    <w:rsid w:val="00B35AD8"/>
    <w:rsid w:val="00B67296"/>
    <w:rsid w:val="00BB4DF1"/>
    <w:rsid w:val="00BC2476"/>
    <w:rsid w:val="00C402D8"/>
    <w:rsid w:val="00C5075E"/>
    <w:rsid w:val="00D555DE"/>
    <w:rsid w:val="00D776CD"/>
    <w:rsid w:val="00DF5C70"/>
    <w:rsid w:val="00E40673"/>
    <w:rsid w:val="00E93181"/>
    <w:rsid w:val="00E964E5"/>
    <w:rsid w:val="00F0495C"/>
    <w:rsid w:val="00F259AB"/>
    <w:rsid w:val="00F61FBB"/>
    <w:rsid w:val="00FE64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69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656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0A8"/>
    <w:rPr>
      <w:rFonts w:ascii="Narkisim" w:hAnsi="Narkisim" w:cs="Narkisim"/>
      <w:sz w:val="20"/>
      <w:szCs w:val="20"/>
    </w:rPr>
  </w:style>
  <w:style w:type="character" w:styleId="FootnoteReference">
    <w:name w:val="footnote reference"/>
    <w:basedOn w:val="DefaultParagraphFont"/>
    <w:uiPriority w:val="99"/>
    <w:semiHidden/>
    <w:unhideWhenUsed/>
    <w:rsid w:val="006560A8"/>
    <w:rPr>
      <w:vertAlign w:val="superscript"/>
    </w:rPr>
  </w:style>
  <w:style w:type="character" w:styleId="Hyperlink">
    <w:name w:val="Hyperlink"/>
    <w:basedOn w:val="DefaultParagraphFont"/>
    <w:uiPriority w:val="99"/>
    <w:unhideWhenUsed/>
    <w:rsid w:val="00B67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586">
      <w:bodyDiv w:val="1"/>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single" w:sz="6" w:space="0" w:color="CECEC6"/>
            <w:left w:val="none" w:sz="0" w:space="0" w:color="auto"/>
            <w:bottom w:val="none" w:sz="0" w:space="0" w:color="auto"/>
            <w:right w:val="none" w:sz="0" w:space="0" w:color="auto"/>
          </w:divBdr>
        </w:div>
      </w:divsChild>
    </w:div>
    <w:div w:id="70472763">
      <w:bodyDiv w:val="1"/>
      <w:marLeft w:val="0"/>
      <w:marRight w:val="0"/>
      <w:marTop w:val="0"/>
      <w:marBottom w:val="0"/>
      <w:divBdr>
        <w:top w:val="none" w:sz="0" w:space="0" w:color="auto"/>
        <w:left w:val="none" w:sz="0" w:space="0" w:color="auto"/>
        <w:bottom w:val="none" w:sz="0" w:space="0" w:color="auto"/>
        <w:right w:val="none" w:sz="0" w:space="0" w:color="auto"/>
      </w:divBdr>
      <w:divsChild>
        <w:div w:id="1683045209">
          <w:marLeft w:val="0"/>
          <w:marRight w:val="-45"/>
          <w:marTop w:val="0"/>
          <w:marBottom w:val="0"/>
          <w:divBdr>
            <w:top w:val="none" w:sz="0" w:space="0" w:color="auto"/>
            <w:left w:val="none" w:sz="0" w:space="0" w:color="auto"/>
            <w:bottom w:val="none" w:sz="0" w:space="0" w:color="auto"/>
            <w:right w:val="none" w:sz="0" w:space="0" w:color="auto"/>
          </w:divBdr>
        </w:div>
        <w:div w:id="1800683960">
          <w:marLeft w:val="0"/>
          <w:marRight w:val="-45"/>
          <w:marTop w:val="0"/>
          <w:marBottom w:val="0"/>
          <w:divBdr>
            <w:top w:val="none" w:sz="0" w:space="0" w:color="auto"/>
            <w:left w:val="none" w:sz="0" w:space="0" w:color="auto"/>
            <w:bottom w:val="none" w:sz="0" w:space="0" w:color="auto"/>
            <w:right w:val="none" w:sz="0" w:space="0" w:color="auto"/>
          </w:divBdr>
        </w:div>
        <w:div w:id="1280649137">
          <w:marLeft w:val="0"/>
          <w:marRight w:val="-45"/>
          <w:marTop w:val="0"/>
          <w:marBottom w:val="0"/>
          <w:divBdr>
            <w:top w:val="none" w:sz="0" w:space="0" w:color="auto"/>
            <w:left w:val="none" w:sz="0" w:space="0" w:color="auto"/>
            <w:bottom w:val="none" w:sz="0" w:space="0" w:color="auto"/>
            <w:right w:val="none" w:sz="0" w:space="0" w:color="auto"/>
          </w:divBdr>
        </w:div>
        <w:div w:id="1034965839">
          <w:marLeft w:val="0"/>
          <w:marRight w:val="-45"/>
          <w:marTop w:val="0"/>
          <w:marBottom w:val="0"/>
          <w:divBdr>
            <w:top w:val="none" w:sz="0" w:space="0" w:color="auto"/>
            <w:left w:val="none" w:sz="0" w:space="0" w:color="auto"/>
            <w:bottom w:val="none" w:sz="0" w:space="0" w:color="auto"/>
            <w:right w:val="none" w:sz="0" w:space="0" w:color="auto"/>
          </w:divBdr>
        </w:div>
        <w:div w:id="492644817">
          <w:marLeft w:val="0"/>
          <w:marRight w:val="-45"/>
          <w:marTop w:val="0"/>
          <w:marBottom w:val="0"/>
          <w:divBdr>
            <w:top w:val="none" w:sz="0" w:space="0" w:color="auto"/>
            <w:left w:val="none" w:sz="0" w:space="0" w:color="auto"/>
            <w:bottom w:val="none" w:sz="0" w:space="0" w:color="auto"/>
            <w:right w:val="none" w:sz="0" w:space="0" w:color="auto"/>
          </w:divBdr>
        </w:div>
        <w:div w:id="1519083997">
          <w:marLeft w:val="0"/>
          <w:marRight w:val="-45"/>
          <w:marTop w:val="0"/>
          <w:marBottom w:val="0"/>
          <w:divBdr>
            <w:top w:val="none" w:sz="0" w:space="0" w:color="auto"/>
            <w:left w:val="none" w:sz="0" w:space="0" w:color="auto"/>
            <w:bottom w:val="none" w:sz="0" w:space="0" w:color="auto"/>
            <w:right w:val="none" w:sz="0" w:space="0" w:color="auto"/>
          </w:divBdr>
        </w:div>
      </w:divsChild>
    </w:div>
    <w:div w:id="124353797">
      <w:bodyDiv w:val="1"/>
      <w:marLeft w:val="0"/>
      <w:marRight w:val="0"/>
      <w:marTop w:val="0"/>
      <w:marBottom w:val="0"/>
      <w:divBdr>
        <w:top w:val="none" w:sz="0" w:space="0" w:color="auto"/>
        <w:left w:val="none" w:sz="0" w:space="0" w:color="auto"/>
        <w:bottom w:val="none" w:sz="0" w:space="0" w:color="auto"/>
        <w:right w:val="none" w:sz="0" w:space="0" w:color="auto"/>
      </w:divBdr>
      <w:divsChild>
        <w:div w:id="38282142">
          <w:marLeft w:val="0"/>
          <w:marRight w:val="0"/>
          <w:marTop w:val="0"/>
          <w:marBottom w:val="0"/>
          <w:divBdr>
            <w:top w:val="single" w:sz="6" w:space="0" w:color="CECEC6"/>
            <w:left w:val="none" w:sz="0" w:space="0" w:color="auto"/>
            <w:bottom w:val="none" w:sz="0" w:space="0" w:color="auto"/>
            <w:right w:val="none" w:sz="0" w:space="0" w:color="auto"/>
          </w:divBdr>
        </w:div>
      </w:divsChild>
    </w:div>
    <w:div w:id="170683061">
      <w:bodyDiv w:val="1"/>
      <w:marLeft w:val="0"/>
      <w:marRight w:val="0"/>
      <w:marTop w:val="0"/>
      <w:marBottom w:val="0"/>
      <w:divBdr>
        <w:top w:val="none" w:sz="0" w:space="0" w:color="auto"/>
        <w:left w:val="none" w:sz="0" w:space="0" w:color="auto"/>
        <w:bottom w:val="none" w:sz="0" w:space="0" w:color="auto"/>
        <w:right w:val="none" w:sz="0" w:space="0" w:color="auto"/>
      </w:divBdr>
      <w:divsChild>
        <w:div w:id="637732936">
          <w:marLeft w:val="0"/>
          <w:marRight w:val="0"/>
          <w:marTop w:val="0"/>
          <w:marBottom w:val="0"/>
          <w:divBdr>
            <w:top w:val="single" w:sz="6" w:space="0" w:color="CECEC6"/>
            <w:left w:val="none" w:sz="0" w:space="0" w:color="auto"/>
            <w:bottom w:val="none" w:sz="0" w:space="0" w:color="auto"/>
            <w:right w:val="none" w:sz="0" w:space="0" w:color="auto"/>
          </w:divBdr>
        </w:div>
      </w:divsChild>
    </w:div>
    <w:div w:id="648291372">
      <w:bodyDiv w:val="1"/>
      <w:marLeft w:val="0"/>
      <w:marRight w:val="0"/>
      <w:marTop w:val="0"/>
      <w:marBottom w:val="0"/>
      <w:divBdr>
        <w:top w:val="none" w:sz="0" w:space="0" w:color="auto"/>
        <w:left w:val="none" w:sz="0" w:space="0" w:color="auto"/>
        <w:bottom w:val="none" w:sz="0" w:space="0" w:color="auto"/>
        <w:right w:val="none" w:sz="0" w:space="0" w:color="auto"/>
      </w:divBdr>
      <w:divsChild>
        <w:div w:id="1342774383">
          <w:marLeft w:val="0"/>
          <w:marRight w:val="0"/>
          <w:marTop w:val="0"/>
          <w:marBottom w:val="0"/>
          <w:divBdr>
            <w:top w:val="single" w:sz="6" w:space="0" w:color="CECEC6"/>
            <w:left w:val="none" w:sz="0" w:space="0" w:color="auto"/>
            <w:bottom w:val="none" w:sz="0" w:space="0" w:color="auto"/>
            <w:right w:val="none" w:sz="0" w:space="0" w:color="auto"/>
          </w:divBdr>
        </w:div>
      </w:divsChild>
    </w:div>
    <w:div w:id="837887245">
      <w:bodyDiv w:val="1"/>
      <w:marLeft w:val="0"/>
      <w:marRight w:val="0"/>
      <w:marTop w:val="0"/>
      <w:marBottom w:val="0"/>
      <w:divBdr>
        <w:top w:val="none" w:sz="0" w:space="0" w:color="auto"/>
        <w:left w:val="none" w:sz="0" w:space="0" w:color="auto"/>
        <w:bottom w:val="none" w:sz="0" w:space="0" w:color="auto"/>
        <w:right w:val="none" w:sz="0" w:space="0" w:color="auto"/>
      </w:divBdr>
      <w:divsChild>
        <w:div w:id="1311640762">
          <w:marLeft w:val="0"/>
          <w:marRight w:val="-45"/>
          <w:marTop w:val="0"/>
          <w:marBottom w:val="0"/>
          <w:divBdr>
            <w:top w:val="none" w:sz="0" w:space="0" w:color="auto"/>
            <w:left w:val="none" w:sz="0" w:space="0" w:color="auto"/>
            <w:bottom w:val="none" w:sz="0" w:space="0" w:color="auto"/>
            <w:right w:val="none" w:sz="0" w:space="0" w:color="auto"/>
          </w:divBdr>
        </w:div>
        <w:div w:id="1441949641">
          <w:marLeft w:val="0"/>
          <w:marRight w:val="-45"/>
          <w:marTop w:val="0"/>
          <w:marBottom w:val="0"/>
          <w:divBdr>
            <w:top w:val="none" w:sz="0" w:space="0" w:color="auto"/>
            <w:left w:val="none" w:sz="0" w:space="0" w:color="auto"/>
            <w:bottom w:val="none" w:sz="0" w:space="0" w:color="auto"/>
            <w:right w:val="none" w:sz="0" w:space="0" w:color="auto"/>
          </w:divBdr>
        </w:div>
        <w:div w:id="891231465">
          <w:marLeft w:val="0"/>
          <w:marRight w:val="-45"/>
          <w:marTop w:val="0"/>
          <w:marBottom w:val="0"/>
          <w:divBdr>
            <w:top w:val="none" w:sz="0" w:space="0" w:color="auto"/>
            <w:left w:val="none" w:sz="0" w:space="0" w:color="auto"/>
            <w:bottom w:val="none" w:sz="0" w:space="0" w:color="auto"/>
            <w:right w:val="none" w:sz="0" w:space="0" w:color="auto"/>
          </w:divBdr>
        </w:div>
      </w:divsChild>
    </w:div>
    <w:div w:id="1075012361">
      <w:bodyDiv w:val="1"/>
      <w:marLeft w:val="0"/>
      <w:marRight w:val="0"/>
      <w:marTop w:val="0"/>
      <w:marBottom w:val="0"/>
      <w:divBdr>
        <w:top w:val="none" w:sz="0" w:space="0" w:color="auto"/>
        <w:left w:val="none" w:sz="0" w:space="0" w:color="auto"/>
        <w:bottom w:val="none" w:sz="0" w:space="0" w:color="auto"/>
        <w:right w:val="none" w:sz="0" w:space="0" w:color="auto"/>
      </w:divBdr>
      <w:divsChild>
        <w:div w:id="677469794">
          <w:marLeft w:val="0"/>
          <w:marRight w:val="0"/>
          <w:marTop w:val="0"/>
          <w:marBottom w:val="0"/>
          <w:divBdr>
            <w:top w:val="single" w:sz="6" w:space="0" w:color="CECEC6"/>
            <w:left w:val="none" w:sz="0" w:space="0" w:color="auto"/>
            <w:bottom w:val="none" w:sz="0" w:space="0" w:color="auto"/>
            <w:right w:val="none" w:sz="0" w:space="0" w:color="auto"/>
          </w:divBdr>
        </w:div>
        <w:div w:id="279533105">
          <w:marLeft w:val="0"/>
          <w:marRight w:val="0"/>
          <w:marTop w:val="0"/>
          <w:marBottom w:val="0"/>
          <w:divBdr>
            <w:top w:val="none" w:sz="0" w:space="0" w:color="auto"/>
            <w:left w:val="none" w:sz="0" w:space="0" w:color="auto"/>
            <w:bottom w:val="none" w:sz="0" w:space="0" w:color="auto"/>
            <w:right w:val="none" w:sz="0" w:space="0" w:color="auto"/>
          </w:divBdr>
          <w:divsChild>
            <w:div w:id="2064869915">
              <w:marLeft w:val="0"/>
              <w:marRight w:val="-45"/>
              <w:marTop w:val="0"/>
              <w:marBottom w:val="0"/>
              <w:divBdr>
                <w:top w:val="none" w:sz="0" w:space="0" w:color="auto"/>
                <w:left w:val="none" w:sz="0" w:space="0" w:color="auto"/>
                <w:bottom w:val="none" w:sz="0" w:space="0" w:color="auto"/>
                <w:right w:val="none" w:sz="0" w:space="0" w:color="auto"/>
              </w:divBdr>
            </w:div>
            <w:div w:id="979001661">
              <w:marLeft w:val="0"/>
              <w:marRight w:val="-45"/>
              <w:marTop w:val="0"/>
              <w:marBottom w:val="0"/>
              <w:divBdr>
                <w:top w:val="none" w:sz="0" w:space="0" w:color="auto"/>
                <w:left w:val="none" w:sz="0" w:space="0" w:color="auto"/>
                <w:bottom w:val="none" w:sz="0" w:space="0" w:color="auto"/>
                <w:right w:val="none" w:sz="0" w:space="0" w:color="auto"/>
              </w:divBdr>
            </w:div>
            <w:div w:id="3284806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80361191">
      <w:bodyDiv w:val="1"/>
      <w:marLeft w:val="0"/>
      <w:marRight w:val="0"/>
      <w:marTop w:val="0"/>
      <w:marBottom w:val="0"/>
      <w:divBdr>
        <w:top w:val="none" w:sz="0" w:space="0" w:color="auto"/>
        <w:left w:val="none" w:sz="0" w:space="0" w:color="auto"/>
        <w:bottom w:val="none" w:sz="0" w:space="0" w:color="auto"/>
        <w:right w:val="none" w:sz="0" w:space="0" w:color="auto"/>
      </w:divBdr>
      <w:divsChild>
        <w:div w:id="970020127">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e.wikipedia.org/wiki/%D7%97%D7%99%D7%99%D7%9D_%D7%91%D7%A0%D7%91%D7%A0%D7%99%D7%A9%D7%AA%D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8315&amp;st=&amp;pgnum=217&amp;hil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2016-02-04T00:05:00Z</dcterms:created>
  <dcterms:modified xsi:type="dcterms:W3CDTF">2016-02-04T15:29:00Z</dcterms:modified>
</cp:coreProperties>
</file>