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C5B" w:rsidRPr="00A95CE0" w:rsidRDefault="007A188A" w:rsidP="007A188A">
      <w:pPr>
        <w:ind w:firstLine="0"/>
        <w:jc w:val="both"/>
      </w:pPr>
      <w:r w:rsidRPr="00A95CE0">
        <w:t xml:space="preserve">Michael McCullough, Kenneth </w:t>
      </w:r>
      <w:proofErr w:type="spellStart"/>
      <w:r w:rsidRPr="00A95CE0">
        <w:t>Pargament</w:t>
      </w:r>
      <w:proofErr w:type="spellEnd"/>
      <w:r w:rsidRPr="00A95CE0">
        <w:t xml:space="preserve">, and Carl </w:t>
      </w:r>
      <w:proofErr w:type="spellStart"/>
      <w:r w:rsidRPr="00A95CE0">
        <w:t>Thoresen</w:t>
      </w:r>
      <w:proofErr w:type="spellEnd"/>
      <w:r w:rsidRPr="00A95CE0">
        <w:t xml:space="preserve"> (Eds.), </w:t>
      </w:r>
      <w:r w:rsidRPr="00A95CE0">
        <w:rPr>
          <w:i/>
          <w:iCs/>
        </w:rPr>
        <w:t>Forgiveness: Theory, Research, and Practice</w:t>
      </w:r>
      <w:r w:rsidRPr="00A95CE0">
        <w:t xml:space="preserve"> (New York, 2001)</w:t>
      </w:r>
    </w:p>
    <w:p w:rsidR="007A188A" w:rsidRPr="00A95CE0" w:rsidRDefault="007A188A" w:rsidP="007A188A">
      <w:pPr>
        <w:ind w:firstLine="0"/>
        <w:jc w:val="both"/>
      </w:pPr>
      <w:r w:rsidRPr="00A95CE0">
        <w:t xml:space="preserve">Everett L. Worthington, Jr. (Ed.), </w:t>
      </w:r>
      <w:r w:rsidRPr="00A95CE0">
        <w:rPr>
          <w:i/>
          <w:iCs/>
        </w:rPr>
        <w:t>Dimensions of Forgiveness: Psychological Research and Theoretical Perspectives</w:t>
      </w:r>
      <w:r w:rsidRPr="00A95CE0">
        <w:t xml:space="preserve"> (Philadelphia, 2008)</w:t>
      </w:r>
    </w:p>
    <w:p w:rsidR="007A188A" w:rsidRPr="00A95CE0" w:rsidRDefault="007A188A" w:rsidP="007A188A">
      <w:pPr>
        <w:ind w:firstLine="0"/>
        <w:jc w:val="both"/>
      </w:pPr>
      <w:r w:rsidRPr="00A95CE0">
        <w:t xml:space="preserve">R’ Daniel Z. Feldman, </w:t>
      </w:r>
      <w:proofErr w:type="gramStart"/>
      <w:r w:rsidRPr="00A95CE0">
        <w:rPr>
          <w:i/>
          <w:iCs/>
        </w:rPr>
        <w:t>The</w:t>
      </w:r>
      <w:proofErr w:type="gramEnd"/>
      <w:r w:rsidRPr="00A95CE0">
        <w:rPr>
          <w:i/>
          <w:iCs/>
        </w:rPr>
        <w:t xml:space="preserve"> Right and the Good: </w:t>
      </w:r>
      <w:proofErr w:type="spellStart"/>
      <w:r w:rsidRPr="00A95CE0">
        <w:rPr>
          <w:i/>
          <w:iCs/>
        </w:rPr>
        <w:t>Halakhah</w:t>
      </w:r>
      <w:proofErr w:type="spellEnd"/>
      <w:r w:rsidRPr="00A95CE0">
        <w:rPr>
          <w:i/>
          <w:iCs/>
        </w:rPr>
        <w:t xml:space="preserve"> and Human Relations</w:t>
      </w:r>
      <w:r w:rsidRPr="00A95CE0">
        <w:t xml:space="preserve"> (Brooklyn, 2005)</w:t>
      </w:r>
    </w:p>
    <w:p w:rsidR="007A188A" w:rsidRPr="00A95CE0" w:rsidRDefault="007A188A" w:rsidP="007A188A">
      <w:pPr>
        <w:ind w:firstLine="0"/>
        <w:jc w:val="both"/>
      </w:pPr>
      <w:proofErr w:type="gramStart"/>
      <w:r w:rsidRPr="00A95CE0">
        <w:t xml:space="preserve">R’ Mark </w:t>
      </w:r>
      <w:proofErr w:type="spellStart"/>
      <w:r w:rsidRPr="00A95CE0">
        <w:t>Dratch</w:t>
      </w:r>
      <w:proofErr w:type="spellEnd"/>
      <w:r w:rsidRPr="00A95CE0">
        <w:t>, “Forgiving the Unforgivable?</w:t>
      </w:r>
      <w:proofErr w:type="gramEnd"/>
      <w:r w:rsidRPr="00A95CE0">
        <w:t xml:space="preserve"> Jewish Insights into Repentance and Forgiveness,” </w:t>
      </w:r>
      <w:r w:rsidRPr="00A95CE0">
        <w:rPr>
          <w:i/>
          <w:iCs/>
        </w:rPr>
        <w:t xml:space="preserve">Journal of Religion and Abuse </w:t>
      </w:r>
      <w:r w:rsidRPr="00A95CE0">
        <w:t>4:4</w:t>
      </w:r>
      <w:r w:rsidRPr="00A95CE0">
        <w:rPr>
          <w:i/>
          <w:iCs/>
        </w:rPr>
        <w:t xml:space="preserve"> </w:t>
      </w:r>
      <w:r w:rsidRPr="00A95CE0">
        <w:t>(2002): 7-24</w:t>
      </w:r>
    </w:p>
    <w:p w:rsidR="007A188A" w:rsidRPr="00061F9E" w:rsidRDefault="007A188A" w:rsidP="007A188A">
      <w:pPr>
        <w:ind w:firstLine="0"/>
        <w:rPr>
          <w:b/>
          <w:bCs/>
          <w:u w:val="single"/>
        </w:rPr>
      </w:pPr>
    </w:p>
    <w:p w:rsidR="007A188A" w:rsidRDefault="007A188A" w:rsidP="00A95CE0">
      <w:pPr>
        <w:ind w:firstLine="0"/>
        <w:rPr>
          <w:b/>
          <w:bCs/>
          <w:u w:val="single"/>
        </w:rPr>
      </w:pPr>
      <w:r w:rsidRPr="00061F9E">
        <w:rPr>
          <w:b/>
          <w:bCs/>
          <w:u w:val="single"/>
        </w:rPr>
        <w:t xml:space="preserve">Part 1 </w:t>
      </w:r>
      <w:r w:rsidRPr="00061F9E">
        <w:rPr>
          <w:b/>
          <w:bCs/>
        </w:rPr>
        <w:t xml:space="preserve">– </w:t>
      </w:r>
      <w:r w:rsidRPr="00A95CE0">
        <w:t>Definitional Issues</w:t>
      </w:r>
      <w:r w:rsidRPr="00061F9E">
        <w:rPr>
          <w:b/>
          <w:bCs/>
        </w:rPr>
        <w:t xml:space="preserve">,   </w:t>
      </w:r>
      <w:r w:rsidRPr="00061F9E">
        <w:rPr>
          <w:b/>
          <w:bCs/>
          <w:u w:val="single"/>
        </w:rPr>
        <w:t xml:space="preserve">Part 2 </w:t>
      </w:r>
      <w:r w:rsidRPr="00061F9E">
        <w:rPr>
          <w:b/>
          <w:bCs/>
        </w:rPr>
        <w:t xml:space="preserve">– </w:t>
      </w:r>
      <w:r w:rsidRPr="00A95CE0">
        <w:t>Benefits Part 1</w:t>
      </w:r>
      <w:r w:rsidRPr="00A95CE0">
        <w:t xml:space="preserve"> (Secular),</w:t>
      </w:r>
      <w:r w:rsidRPr="00061F9E">
        <w:rPr>
          <w:b/>
          <w:bCs/>
        </w:rPr>
        <w:t xml:space="preserve">   </w:t>
      </w:r>
      <w:r w:rsidRPr="00061F9E">
        <w:rPr>
          <w:b/>
          <w:bCs/>
          <w:u w:val="single"/>
        </w:rPr>
        <w:t xml:space="preserve">Part 3 </w:t>
      </w:r>
      <w:r w:rsidRPr="00A95CE0">
        <w:t>– Challenges</w:t>
      </w:r>
      <w:r w:rsidRPr="00A95CE0">
        <w:t>,</w:t>
      </w:r>
      <w:r w:rsidRPr="00061F9E">
        <w:rPr>
          <w:b/>
          <w:bCs/>
        </w:rPr>
        <w:t xml:space="preserve">   </w:t>
      </w:r>
      <w:r w:rsidRPr="00061F9E">
        <w:rPr>
          <w:b/>
          <w:bCs/>
          <w:u w:val="single"/>
        </w:rPr>
        <w:t xml:space="preserve">Part 4 </w:t>
      </w:r>
      <w:r w:rsidRPr="00061F9E">
        <w:rPr>
          <w:b/>
          <w:bCs/>
        </w:rPr>
        <w:t xml:space="preserve">– </w:t>
      </w:r>
      <w:r w:rsidRPr="00A95CE0">
        <w:t>Detriments</w:t>
      </w:r>
      <w:proofErr w:type="gramStart"/>
      <w:r w:rsidRPr="00A95CE0">
        <w:t>,</w:t>
      </w:r>
      <w:r w:rsidR="00A95CE0">
        <w:rPr>
          <w:b/>
          <w:bCs/>
        </w:rPr>
        <w:t xml:space="preserve">  </w:t>
      </w:r>
      <w:r w:rsidRPr="00061F9E">
        <w:rPr>
          <w:b/>
          <w:bCs/>
          <w:u w:val="single"/>
        </w:rPr>
        <w:t>Part</w:t>
      </w:r>
      <w:proofErr w:type="gramEnd"/>
      <w:r w:rsidRPr="00061F9E">
        <w:rPr>
          <w:b/>
          <w:bCs/>
          <w:u w:val="single"/>
        </w:rPr>
        <w:t xml:space="preserve"> 5 </w:t>
      </w:r>
      <w:r w:rsidRPr="00061F9E">
        <w:rPr>
          <w:b/>
          <w:bCs/>
        </w:rPr>
        <w:t xml:space="preserve">– </w:t>
      </w:r>
      <w:r w:rsidRPr="00A95CE0">
        <w:t>Benefits Part 2 (</w:t>
      </w:r>
      <w:r w:rsidR="00A95CE0">
        <w:t>Religious)</w:t>
      </w:r>
      <w:r w:rsidRPr="00061F9E">
        <w:rPr>
          <w:b/>
          <w:bCs/>
          <w:u w:val="single"/>
        </w:rPr>
        <w:t xml:space="preserve"> </w:t>
      </w:r>
    </w:p>
    <w:p w:rsidR="00B344FB" w:rsidRPr="00B344FB" w:rsidRDefault="00B344FB" w:rsidP="00A95CE0">
      <w:pPr>
        <w:ind w:firstLine="0"/>
      </w:pPr>
      <w:proofErr w:type="gramStart"/>
      <w:r>
        <w:rPr>
          <w:b/>
          <w:bCs/>
          <w:u w:val="single"/>
        </w:rPr>
        <w:t xml:space="preserve">Conclusion </w:t>
      </w:r>
      <w:r>
        <w:t xml:space="preserve"> -</w:t>
      </w:r>
      <w:proofErr w:type="gramEnd"/>
      <w:r>
        <w:t xml:space="preserve"> Working on Forgiveness </w:t>
      </w:r>
    </w:p>
    <w:p w:rsidR="007A188A" w:rsidRPr="00061F9E" w:rsidRDefault="007A188A" w:rsidP="007A188A">
      <w:pPr>
        <w:ind w:firstLine="0"/>
        <w:rPr>
          <w:b/>
          <w:bCs/>
        </w:rPr>
      </w:pPr>
    </w:p>
    <w:p w:rsidR="007A188A" w:rsidRPr="00061F9E" w:rsidRDefault="007A188A" w:rsidP="007A188A">
      <w:pPr>
        <w:ind w:firstLine="0"/>
        <w:rPr>
          <w:b/>
          <w:bCs/>
          <w:u w:val="single"/>
        </w:rPr>
      </w:pPr>
      <w:r w:rsidRPr="00061F9E">
        <w:rPr>
          <w:b/>
          <w:bCs/>
          <w:u w:val="single"/>
        </w:rPr>
        <w:t>Part 1 – Definitional Issues</w:t>
      </w:r>
    </w:p>
    <w:p w:rsidR="007A188A" w:rsidRPr="00A95CE0" w:rsidRDefault="007A188A" w:rsidP="007A188A">
      <w:pPr>
        <w:pStyle w:val="ListParagraph"/>
        <w:numPr>
          <w:ilvl w:val="0"/>
          <w:numId w:val="1"/>
        </w:numPr>
      </w:pPr>
      <w:r w:rsidRPr="00061F9E">
        <w:rPr>
          <w:b/>
          <w:bCs/>
          <w:u w:val="single"/>
        </w:rPr>
        <w:t xml:space="preserve">Rabbi </w:t>
      </w:r>
      <w:proofErr w:type="spellStart"/>
      <w:r w:rsidRPr="00061F9E">
        <w:rPr>
          <w:b/>
          <w:bCs/>
          <w:u w:val="single"/>
        </w:rPr>
        <w:t>Dratch</w:t>
      </w:r>
      <w:proofErr w:type="spellEnd"/>
      <w:r w:rsidRPr="00061F9E">
        <w:rPr>
          <w:b/>
          <w:bCs/>
          <w:u w:val="single"/>
        </w:rPr>
        <w:t xml:space="preserve"> – p. 10</w:t>
      </w:r>
      <w:r w:rsidRPr="00061F9E">
        <w:rPr>
          <w:b/>
          <w:bCs/>
        </w:rPr>
        <w:t xml:space="preserve"> </w:t>
      </w:r>
      <w:r w:rsidR="001C4DB6" w:rsidRPr="00061F9E">
        <w:rPr>
          <w:b/>
          <w:bCs/>
        </w:rPr>
        <w:t>–</w:t>
      </w:r>
      <w:r w:rsidRPr="00061F9E">
        <w:rPr>
          <w:b/>
          <w:bCs/>
        </w:rPr>
        <w:t xml:space="preserve"> </w:t>
      </w:r>
      <w:r w:rsidR="001C4DB6" w:rsidRPr="00A95CE0">
        <w:t>“</w:t>
      </w:r>
      <w:r w:rsidRPr="00A95CE0">
        <w:t>What do these words mean and what do they reveal about the nature and process</w:t>
      </w:r>
      <w:r w:rsidR="001C4DB6" w:rsidRPr="00A95CE0">
        <w:t xml:space="preserve"> </w:t>
      </w:r>
      <w:r w:rsidRPr="00A95CE0">
        <w:t xml:space="preserve">of forgiveness? </w:t>
      </w:r>
      <w:proofErr w:type="spellStart"/>
      <w:r w:rsidRPr="00A95CE0">
        <w:t>Mehilah</w:t>
      </w:r>
      <w:proofErr w:type="spellEnd"/>
      <w:r w:rsidRPr="00A95CE0">
        <w:t xml:space="preserve"> is a technical, legal term that applies when the</w:t>
      </w:r>
      <w:r w:rsidR="001C4DB6" w:rsidRPr="00A95CE0">
        <w:t xml:space="preserve"> </w:t>
      </w:r>
      <w:r w:rsidRPr="00A95CE0">
        <w:t>lender of money forgoes or waives all or part of the debt another person owes</w:t>
      </w:r>
      <w:r w:rsidR="001C4DB6" w:rsidRPr="00A95CE0">
        <w:t xml:space="preserve"> </w:t>
      </w:r>
      <w:r w:rsidRPr="00A95CE0">
        <w:t xml:space="preserve">him. When applied to the consequence of sin, </w:t>
      </w:r>
      <w:proofErr w:type="spellStart"/>
      <w:r w:rsidRPr="00A95CE0">
        <w:t>mehilah</w:t>
      </w:r>
      <w:proofErr w:type="spellEnd"/>
      <w:r w:rsidRPr="00A95CE0">
        <w:t xml:space="preserve"> is the remission or cancellation</w:t>
      </w:r>
      <w:r w:rsidR="001C4DB6" w:rsidRPr="00A95CE0">
        <w:t xml:space="preserve"> </w:t>
      </w:r>
      <w:r w:rsidRPr="00A95CE0">
        <w:t xml:space="preserve">of the punishment and any of the legal </w:t>
      </w:r>
      <w:r w:rsidR="001C4DB6" w:rsidRPr="00A95CE0">
        <w:t>consequences of the sinful act.</w:t>
      </w:r>
      <w:r w:rsidRPr="00A95CE0">
        <w:t xml:space="preserve"> But</w:t>
      </w:r>
      <w:r w:rsidR="001C4DB6" w:rsidRPr="00A95CE0">
        <w:t xml:space="preserve"> </w:t>
      </w:r>
      <w:r w:rsidRPr="00A95CE0">
        <w:t xml:space="preserve">in the repentance process, </w:t>
      </w:r>
      <w:proofErr w:type="spellStart"/>
      <w:r w:rsidRPr="00A95CE0">
        <w:t>mehilah</w:t>
      </w:r>
      <w:proofErr w:type="spellEnd"/>
      <w:r w:rsidRPr="00A95CE0">
        <w:t xml:space="preserve"> alone is insufficient because, in addition to a</w:t>
      </w:r>
      <w:r w:rsidR="001C4DB6" w:rsidRPr="00A95CE0">
        <w:t xml:space="preserve"> </w:t>
      </w:r>
      <w:r w:rsidRPr="00A95CE0">
        <w:t>sinner’s liability for compensating for the losses he caused his victim to endure</w:t>
      </w:r>
      <w:r w:rsidR="001C4DB6" w:rsidRPr="00A95CE0">
        <w:t xml:space="preserve"> </w:t>
      </w:r>
      <w:r w:rsidRPr="00A95CE0">
        <w:t>or for the prescribed punishment that he must bear, sin has other consequences.</w:t>
      </w:r>
      <w:r w:rsidR="001C4DB6" w:rsidRPr="00A95CE0">
        <w:t xml:space="preserve"> </w:t>
      </w:r>
      <w:r w:rsidRPr="00A95CE0">
        <w:t>It also damages and contaminates a sinner’s soul and causes him to become</w:t>
      </w:r>
      <w:r w:rsidR="001C4DB6" w:rsidRPr="00A95CE0">
        <w:t xml:space="preserve"> </w:t>
      </w:r>
      <w:r w:rsidRPr="00A95CE0">
        <w:t>alienated from God, (“But because your iniquities have separated you and your</w:t>
      </w:r>
      <w:r w:rsidR="001C4DB6" w:rsidRPr="00A95CE0">
        <w:t xml:space="preserve"> </w:t>
      </w:r>
      <w:r w:rsidRPr="00A95CE0">
        <w:t>God” (Isaiah 59:2)). A sinner requires purification and the healing qualities of</w:t>
      </w:r>
      <w:r w:rsidR="001C4DB6" w:rsidRPr="00A95CE0">
        <w:t xml:space="preserve"> </w:t>
      </w:r>
      <w:proofErr w:type="spellStart"/>
      <w:r w:rsidRPr="00A95CE0">
        <w:t>selihah</w:t>
      </w:r>
      <w:proofErr w:type="spellEnd"/>
      <w:r w:rsidRPr="00A95CE0">
        <w:t xml:space="preserve"> (forgiveness) as well. The great twentieth century sage and teacher,</w:t>
      </w:r>
      <w:r w:rsidR="001C4DB6" w:rsidRPr="00A95CE0">
        <w:t xml:space="preserve"> </w:t>
      </w:r>
      <w:r w:rsidRPr="00A95CE0">
        <w:t xml:space="preserve">Rabbi Joseph </w:t>
      </w:r>
      <w:proofErr w:type="spellStart"/>
      <w:r w:rsidRPr="00A95CE0">
        <w:t>Soloveitchik</w:t>
      </w:r>
      <w:proofErr w:type="spellEnd"/>
      <w:r w:rsidRPr="00A95CE0">
        <w:t xml:space="preserve"> suggested that </w:t>
      </w:r>
      <w:proofErr w:type="spellStart"/>
      <w:r w:rsidRPr="00A95CE0">
        <w:t>selihah</w:t>
      </w:r>
      <w:proofErr w:type="spellEnd"/>
      <w:r w:rsidRPr="00A95CE0">
        <w:t xml:space="preserve"> “is a process which cleanses</w:t>
      </w:r>
      <w:r w:rsidR="001C4DB6" w:rsidRPr="00A95CE0">
        <w:t xml:space="preserve"> </w:t>
      </w:r>
      <w:r w:rsidRPr="00A95CE0">
        <w:t>and sanctifies the metaphysical dimension of the personality.”</w:t>
      </w:r>
      <w:r w:rsidR="001C4DB6" w:rsidRPr="00A95CE0">
        <w:t>”</w:t>
      </w:r>
    </w:p>
    <w:p w:rsidR="001C4DB6" w:rsidRPr="00A95CE0" w:rsidRDefault="001C4DB6" w:rsidP="007A188A">
      <w:pPr>
        <w:pStyle w:val="ListParagraph"/>
        <w:numPr>
          <w:ilvl w:val="0"/>
          <w:numId w:val="1"/>
        </w:numPr>
      </w:pPr>
      <w:r w:rsidRPr="00061F9E">
        <w:rPr>
          <w:b/>
          <w:bCs/>
          <w:u w:val="single"/>
        </w:rPr>
        <w:t xml:space="preserve">McCullough, </w:t>
      </w:r>
      <w:proofErr w:type="spellStart"/>
      <w:r w:rsidRPr="00061F9E">
        <w:rPr>
          <w:b/>
          <w:bCs/>
          <w:u w:val="single"/>
        </w:rPr>
        <w:t>Pargament</w:t>
      </w:r>
      <w:proofErr w:type="spellEnd"/>
      <w:r w:rsidRPr="00061F9E">
        <w:rPr>
          <w:b/>
          <w:bCs/>
          <w:u w:val="single"/>
        </w:rPr>
        <w:t xml:space="preserve">, and </w:t>
      </w:r>
      <w:proofErr w:type="spellStart"/>
      <w:r w:rsidRPr="00061F9E">
        <w:rPr>
          <w:b/>
          <w:bCs/>
          <w:u w:val="single"/>
        </w:rPr>
        <w:t>Thoresen</w:t>
      </w:r>
      <w:proofErr w:type="spellEnd"/>
      <w:r w:rsidRPr="00061F9E">
        <w:rPr>
          <w:b/>
          <w:bCs/>
          <w:u w:val="single"/>
        </w:rPr>
        <w:t>, p. 9</w:t>
      </w:r>
      <w:r w:rsidRPr="00061F9E">
        <w:rPr>
          <w:b/>
          <w:bCs/>
        </w:rPr>
        <w:t xml:space="preserve"> - </w:t>
      </w:r>
      <w:r w:rsidRPr="00A95CE0">
        <w:rPr>
          <w:lang w:bidi="he-IL"/>
        </w:rPr>
        <w:t>“</w:t>
      </w:r>
      <w:r w:rsidRPr="00A95CE0">
        <w:rPr>
          <w:lang w:bidi="he-IL"/>
        </w:rPr>
        <w:t>[D]</w:t>
      </w:r>
      <w:proofErr w:type="spellStart"/>
      <w:r w:rsidRPr="00A95CE0">
        <w:rPr>
          <w:lang w:bidi="he-IL"/>
        </w:rPr>
        <w:t>efine</w:t>
      </w:r>
      <w:proofErr w:type="spellEnd"/>
      <w:r w:rsidRPr="00A95CE0">
        <w:rPr>
          <w:lang w:bidi="he-IL"/>
        </w:rPr>
        <w:t xml:space="preserve"> forgiveness as </w:t>
      </w:r>
      <w:proofErr w:type="spellStart"/>
      <w:r w:rsidRPr="00A95CE0">
        <w:rPr>
          <w:lang w:bidi="he-IL"/>
        </w:rPr>
        <w:t>intraindividual</w:t>
      </w:r>
      <w:proofErr w:type="spellEnd"/>
      <w:r w:rsidRPr="00A95CE0">
        <w:rPr>
          <w:lang w:bidi="he-IL"/>
        </w:rPr>
        <w:t xml:space="preserve">, </w:t>
      </w:r>
      <w:proofErr w:type="spellStart"/>
      <w:r w:rsidRPr="00A95CE0">
        <w:rPr>
          <w:lang w:bidi="he-IL"/>
        </w:rPr>
        <w:t>prosocial</w:t>
      </w:r>
      <w:proofErr w:type="spellEnd"/>
      <w:r w:rsidRPr="00A95CE0">
        <w:rPr>
          <w:lang w:bidi="he-IL"/>
        </w:rPr>
        <w:t xml:space="preserve"> change toward a perceived transgressor that is situated within a specific interpersonal context”</w:t>
      </w:r>
    </w:p>
    <w:p w:rsidR="001C4DB6" w:rsidRPr="00061F9E" w:rsidRDefault="001C4DB6" w:rsidP="007A188A">
      <w:pPr>
        <w:pStyle w:val="ListParagraph"/>
        <w:numPr>
          <w:ilvl w:val="0"/>
          <w:numId w:val="1"/>
        </w:numPr>
        <w:rPr>
          <w:b/>
          <w:bCs/>
          <w:i/>
          <w:iCs/>
        </w:rPr>
      </w:pPr>
      <w:r w:rsidRPr="00061F9E">
        <w:rPr>
          <w:b/>
          <w:bCs/>
          <w:u w:val="single"/>
        </w:rPr>
        <w:t xml:space="preserve">Roy </w:t>
      </w:r>
      <w:proofErr w:type="spellStart"/>
      <w:r w:rsidRPr="00061F9E">
        <w:rPr>
          <w:b/>
          <w:bCs/>
          <w:u w:val="single"/>
        </w:rPr>
        <w:t>Baumeister</w:t>
      </w:r>
      <w:proofErr w:type="spellEnd"/>
      <w:r w:rsidRPr="00061F9E">
        <w:rPr>
          <w:b/>
          <w:bCs/>
          <w:u w:val="single"/>
        </w:rPr>
        <w:t xml:space="preserve"> in </w:t>
      </w:r>
      <w:r w:rsidRPr="00061F9E">
        <w:rPr>
          <w:b/>
          <w:bCs/>
          <w:i/>
          <w:iCs/>
          <w:u w:val="single"/>
        </w:rPr>
        <w:t>Dimensions of Forgiveness</w:t>
      </w:r>
      <w:r w:rsidRPr="00061F9E">
        <w:rPr>
          <w:b/>
          <w:bCs/>
          <w:u w:val="single"/>
        </w:rPr>
        <w:t xml:space="preserve">, pgs. 79-104 – </w:t>
      </w:r>
      <w:r w:rsidRPr="00A95CE0">
        <w:t xml:space="preserve">Two Dimensions of Forgiveness: 1) </w:t>
      </w:r>
      <w:proofErr w:type="spellStart"/>
      <w:r w:rsidRPr="00A95CE0">
        <w:t>Intrapsychic</w:t>
      </w:r>
      <w:proofErr w:type="spellEnd"/>
      <w:r w:rsidRPr="00A95CE0">
        <w:t>, 2) Interpersonal</w:t>
      </w:r>
    </w:p>
    <w:p w:rsidR="001C4DB6" w:rsidRPr="00061F9E" w:rsidRDefault="00A95CE0" w:rsidP="007A188A">
      <w:pPr>
        <w:pStyle w:val="ListParagraph"/>
        <w:numPr>
          <w:ilvl w:val="0"/>
          <w:numId w:val="1"/>
        </w:numPr>
        <w:rPr>
          <w:rFonts w:hint="cs"/>
          <w:b/>
          <w:bCs/>
          <w:i/>
          <w:iCs/>
        </w:rPr>
      </w:pPr>
      <w:proofErr w:type="spellStart"/>
      <w:r>
        <w:rPr>
          <w:b/>
          <w:bCs/>
          <w:u w:val="single"/>
          <w:lang w:bidi="he-IL"/>
        </w:rPr>
        <w:t>Lereiacha</w:t>
      </w:r>
      <w:proofErr w:type="spellEnd"/>
      <w:r>
        <w:rPr>
          <w:b/>
          <w:bCs/>
          <w:u w:val="single"/>
          <w:lang w:bidi="he-IL"/>
        </w:rPr>
        <w:t xml:space="preserve"> </w:t>
      </w:r>
      <w:proofErr w:type="spellStart"/>
      <w:r>
        <w:rPr>
          <w:b/>
          <w:bCs/>
          <w:u w:val="single"/>
          <w:lang w:bidi="he-IL"/>
        </w:rPr>
        <w:t>Kamocha</w:t>
      </w:r>
      <w:proofErr w:type="spellEnd"/>
      <w:r>
        <w:rPr>
          <w:b/>
          <w:bCs/>
          <w:u w:val="single"/>
          <w:lang w:bidi="he-IL"/>
        </w:rPr>
        <w:t xml:space="preserve">, 3, </w:t>
      </w:r>
      <w:proofErr w:type="spellStart"/>
      <w:r>
        <w:rPr>
          <w:b/>
          <w:bCs/>
          <w:u w:val="single"/>
          <w:lang w:bidi="he-IL"/>
        </w:rPr>
        <w:t>Kuntras</w:t>
      </w:r>
      <w:proofErr w:type="spellEnd"/>
      <w:r>
        <w:rPr>
          <w:b/>
          <w:bCs/>
          <w:u w:val="single"/>
          <w:lang w:bidi="he-IL"/>
        </w:rPr>
        <w:t xml:space="preserve"> </w:t>
      </w:r>
      <w:proofErr w:type="spellStart"/>
      <w:r>
        <w:rPr>
          <w:b/>
          <w:bCs/>
          <w:u w:val="single"/>
          <w:lang w:bidi="he-IL"/>
        </w:rPr>
        <w:t>HaBiurim</w:t>
      </w:r>
      <w:proofErr w:type="spellEnd"/>
      <w:r>
        <w:rPr>
          <w:b/>
          <w:bCs/>
          <w:u w:val="single"/>
          <w:lang w:bidi="he-IL"/>
        </w:rPr>
        <w:t xml:space="preserve"> 7</w:t>
      </w:r>
      <w:r w:rsidR="001C4DB6" w:rsidRPr="00061F9E">
        <w:rPr>
          <w:b/>
          <w:bCs/>
        </w:rPr>
        <w:t xml:space="preserve">- </w:t>
      </w:r>
      <w:r w:rsidR="001C4DB6" w:rsidRPr="00A95CE0">
        <w:t>Cancelling Debt or Emotional Reconciliation?</w:t>
      </w:r>
      <w:r w:rsidR="001C4DB6" w:rsidRPr="00061F9E">
        <w:rPr>
          <w:b/>
          <w:bCs/>
        </w:rPr>
        <w:t xml:space="preserve"> </w:t>
      </w:r>
    </w:p>
    <w:p w:rsidR="001C4DB6" w:rsidRPr="00061F9E" w:rsidRDefault="001C4DB6" w:rsidP="001C4DB6">
      <w:pPr>
        <w:ind w:firstLine="0"/>
        <w:rPr>
          <w:b/>
          <w:bCs/>
          <w:lang w:bidi="he-IL"/>
        </w:rPr>
      </w:pPr>
    </w:p>
    <w:p w:rsidR="001C4DB6" w:rsidRPr="00061F9E" w:rsidRDefault="001C4DB6" w:rsidP="001C4DB6">
      <w:pPr>
        <w:ind w:firstLine="0"/>
        <w:rPr>
          <w:b/>
          <w:bCs/>
          <w:u w:val="single"/>
        </w:rPr>
      </w:pPr>
      <w:r w:rsidRPr="00061F9E">
        <w:rPr>
          <w:b/>
          <w:bCs/>
          <w:u w:val="single"/>
        </w:rPr>
        <w:t xml:space="preserve">Part 2 – Benefits Part 1 (Secular) </w:t>
      </w:r>
    </w:p>
    <w:p w:rsidR="001C4DB6" w:rsidRPr="00061F9E" w:rsidRDefault="00277BDE" w:rsidP="00277BDE">
      <w:pPr>
        <w:pStyle w:val="ListParagraph"/>
        <w:numPr>
          <w:ilvl w:val="0"/>
          <w:numId w:val="1"/>
        </w:numPr>
        <w:rPr>
          <w:b/>
          <w:bCs/>
          <w:u w:val="single"/>
        </w:rPr>
      </w:pPr>
      <w:r w:rsidRPr="00061F9E">
        <w:rPr>
          <w:b/>
          <w:bCs/>
          <w:u w:val="single"/>
        </w:rPr>
        <w:t xml:space="preserve">Michael McCullough, </w:t>
      </w:r>
      <w:proofErr w:type="gramStart"/>
      <w:r w:rsidRPr="00061F9E">
        <w:rPr>
          <w:b/>
          <w:bCs/>
          <w:u w:val="single"/>
        </w:rPr>
        <w:t>et</w:t>
      </w:r>
      <w:proofErr w:type="gramEnd"/>
      <w:r w:rsidRPr="00061F9E">
        <w:rPr>
          <w:b/>
          <w:bCs/>
          <w:u w:val="single"/>
        </w:rPr>
        <w:t xml:space="preserve">. al., “Forgiveness,” </w:t>
      </w:r>
      <w:r w:rsidRPr="00061F9E">
        <w:rPr>
          <w:b/>
          <w:bCs/>
          <w:i/>
          <w:iCs/>
          <w:u w:val="single"/>
        </w:rPr>
        <w:t>The Oxford Handbook of Positive Psychology</w:t>
      </w:r>
      <w:r w:rsidRPr="00061F9E">
        <w:rPr>
          <w:b/>
          <w:bCs/>
          <w:u w:val="single"/>
        </w:rPr>
        <w:t xml:space="preserve"> (New York, 2009), 427-435.</w:t>
      </w:r>
    </w:p>
    <w:p w:rsidR="00F90E2E" w:rsidRDefault="001C4DB6" w:rsidP="00F90E2E">
      <w:pPr>
        <w:rPr>
          <w:b/>
          <w:bCs/>
          <w:u w:val="single"/>
        </w:rPr>
      </w:pPr>
      <w:r w:rsidRPr="00061F9E">
        <w:rPr>
          <w:b/>
          <w:bCs/>
          <w:noProof/>
          <w:lang w:bidi="he-IL"/>
        </w:rPr>
        <w:drawing>
          <wp:inline distT="0" distB="0" distL="0" distR="0" wp14:anchorId="08148A98" wp14:editId="1715B041">
            <wp:extent cx="2371429" cy="15333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BEBA8EAE-BF5A-486C-A8C5-ECC9F3942E4B}">
                          <a14:imgProps xmlns:a14="http://schemas.microsoft.com/office/drawing/2010/main">
                            <a14:imgLayer r:embed="rId10">
                              <a14:imgEffect>
                                <a14:sharpenSoften amount="50000"/>
                              </a14:imgEffect>
                              <a14:imgEffect>
                                <a14:brightnessContrast contrast="-40000"/>
                              </a14:imgEffect>
                            </a14:imgLayer>
                          </a14:imgProps>
                        </a:ext>
                      </a:extLst>
                    </a:blip>
                    <a:stretch>
                      <a:fillRect/>
                    </a:stretch>
                  </pic:blipFill>
                  <pic:spPr>
                    <a:xfrm>
                      <a:off x="0" y="0"/>
                      <a:ext cx="2371429" cy="1533333"/>
                    </a:xfrm>
                    <a:prstGeom prst="rect">
                      <a:avLst/>
                    </a:prstGeom>
                  </pic:spPr>
                </pic:pic>
              </a:graphicData>
            </a:graphic>
          </wp:inline>
        </w:drawing>
      </w:r>
      <w:r w:rsidRPr="00061F9E">
        <w:rPr>
          <w:b/>
          <w:bCs/>
          <w:u w:val="single"/>
        </w:rPr>
        <w:t xml:space="preserve"> </w:t>
      </w:r>
      <w:r w:rsidRPr="00061F9E">
        <w:rPr>
          <w:b/>
          <w:bCs/>
          <w:noProof/>
          <w:lang w:bidi="he-IL"/>
        </w:rPr>
        <w:drawing>
          <wp:inline distT="0" distB="0" distL="0" distR="0" wp14:anchorId="36176895" wp14:editId="3B13F418">
            <wp:extent cx="2342857" cy="1104762"/>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BEBA8EAE-BF5A-486C-A8C5-ECC9F3942E4B}">
                          <a14:imgProps xmlns:a14="http://schemas.microsoft.com/office/drawing/2010/main">
                            <a14:imgLayer r:embed="rId12">
                              <a14:imgEffect>
                                <a14:sharpenSoften amount="50000"/>
                              </a14:imgEffect>
                              <a14:imgEffect>
                                <a14:brightnessContrast contrast="-40000"/>
                              </a14:imgEffect>
                            </a14:imgLayer>
                          </a14:imgProps>
                        </a:ext>
                      </a:extLst>
                    </a:blip>
                    <a:stretch>
                      <a:fillRect/>
                    </a:stretch>
                  </pic:blipFill>
                  <pic:spPr>
                    <a:xfrm>
                      <a:off x="0" y="0"/>
                      <a:ext cx="2342857" cy="1104762"/>
                    </a:xfrm>
                    <a:prstGeom prst="rect">
                      <a:avLst/>
                    </a:prstGeom>
                  </pic:spPr>
                </pic:pic>
              </a:graphicData>
            </a:graphic>
          </wp:inline>
        </w:drawing>
      </w:r>
      <w:r w:rsidRPr="00061F9E">
        <w:rPr>
          <w:b/>
          <w:bCs/>
          <w:u w:val="single"/>
        </w:rPr>
        <w:t xml:space="preserve"> </w:t>
      </w:r>
      <w:r w:rsidRPr="00061F9E">
        <w:rPr>
          <w:b/>
          <w:bCs/>
          <w:noProof/>
          <w:lang w:bidi="he-IL"/>
        </w:rPr>
        <w:drawing>
          <wp:inline distT="0" distB="0" distL="0" distR="0" wp14:anchorId="07882001" wp14:editId="0C406D54">
            <wp:extent cx="2495238" cy="1219048"/>
            <wp:effectExtent l="0" t="0" r="63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BEBA8EAE-BF5A-486C-A8C5-ECC9F3942E4B}">
                          <a14:imgProps xmlns:a14="http://schemas.microsoft.com/office/drawing/2010/main">
                            <a14:imgLayer r:embed="rId14">
                              <a14:imgEffect>
                                <a14:brightnessContrast contrast="-40000"/>
                              </a14:imgEffect>
                            </a14:imgLayer>
                          </a14:imgProps>
                        </a:ext>
                      </a:extLst>
                    </a:blip>
                    <a:stretch>
                      <a:fillRect/>
                    </a:stretch>
                  </pic:blipFill>
                  <pic:spPr>
                    <a:xfrm>
                      <a:off x="0" y="0"/>
                      <a:ext cx="2495238" cy="1219048"/>
                    </a:xfrm>
                    <a:prstGeom prst="rect">
                      <a:avLst/>
                    </a:prstGeom>
                  </pic:spPr>
                </pic:pic>
              </a:graphicData>
            </a:graphic>
          </wp:inline>
        </w:drawing>
      </w:r>
      <w:r w:rsidR="00F90E2E" w:rsidRPr="00061F9E">
        <w:rPr>
          <w:b/>
          <w:bCs/>
          <w:u w:val="single"/>
        </w:rPr>
        <w:t xml:space="preserve"> </w:t>
      </w:r>
    </w:p>
    <w:p w:rsidR="00A95CE0" w:rsidRDefault="00A95CE0" w:rsidP="00F90E2E">
      <w:pPr>
        <w:rPr>
          <w:b/>
          <w:bCs/>
          <w:u w:val="single"/>
        </w:rPr>
      </w:pPr>
    </w:p>
    <w:p w:rsidR="00A95CE0" w:rsidRDefault="00A95CE0" w:rsidP="00F90E2E">
      <w:pPr>
        <w:rPr>
          <w:b/>
          <w:bCs/>
          <w:u w:val="single"/>
        </w:rPr>
      </w:pPr>
    </w:p>
    <w:p w:rsidR="00A95CE0" w:rsidRPr="00061F9E" w:rsidRDefault="00A95CE0" w:rsidP="00F90E2E">
      <w:pPr>
        <w:rPr>
          <w:b/>
          <w:bCs/>
          <w:u w:val="single"/>
        </w:rPr>
      </w:pPr>
    </w:p>
    <w:p w:rsidR="001C4DB6" w:rsidRPr="00061F9E" w:rsidRDefault="00F90E2E" w:rsidP="00F90E2E">
      <w:pPr>
        <w:ind w:firstLine="0"/>
        <w:rPr>
          <w:b/>
          <w:bCs/>
          <w:u w:val="single"/>
        </w:rPr>
      </w:pPr>
      <w:r w:rsidRPr="00061F9E">
        <w:rPr>
          <w:b/>
          <w:bCs/>
          <w:u w:val="single"/>
        </w:rPr>
        <w:t>Part 3 – Challenges</w:t>
      </w:r>
    </w:p>
    <w:p w:rsidR="001C4DB6" w:rsidRPr="00061F9E" w:rsidRDefault="00F90E2E" w:rsidP="001C4DB6">
      <w:pPr>
        <w:pStyle w:val="ListParagraph"/>
        <w:numPr>
          <w:ilvl w:val="0"/>
          <w:numId w:val="1"/>
        </w:numPr>
        <w:rPr>
          <w:b/>
          <w:bCs/>
          <w:i/>
          <w:iCs/>
          <w:lang w:bidi="he-IL"/>
        </w:rPr>
      </w:pPr>
      <w:r w:rsidRPr="00061F9E">
        <w:rPr>
          <w:b/>
          <w:bCs/>
          <w:u w:val="single"/>
        </w:rPr>
        <w:t xml:space="preserve">Roy </w:t>
      </w:r>
      <w:proofErr w:type="spellStart"/>
      <w:r w:rsidRPr="00061F9E">
        <w:rPr>
          <w:b/>
          <w:bCs/>
          <w:u w:val="single"/>
        </w:rPr>
        <w:t>Baumeister</w:t>
      </w:r>
      <w:proofErr w:type="spellEnd"/>
      <w:r w:rsidRPr="00061F9E">
        <w:rPr>
          <w:b/>
          <w:bCs/>
          <w:u w:val="single"/>
        </w:rPr>
        <w:t xml:space="preserve"> in </w:t>
      </w:r>
      <w:r w:rsidRPr="00061F9E">
        <w:rPr>
          <w:b/>
          <w:bCs/>
          <w:i/>
          <w:iCs/>
          <w:u w:val="single"/>
        </w:rPr>
        <w:t>Dimensions of Forgiveness</w:t>
      </w:r>
      <w:r w:rsidRPr="00061F9E">
        <w:rPr>
          <w:b/>
          <w:bCs/>
          <w:u w:val="single"/>
        </w:rPr>
        <w:t xml:space="preserve">, pgs. 79-104 </w:t>
      </w:r>
      <w:r w:rsidRPr="00061F9E">
        <w:rPr>
          <w:b/>
          <w:bCs/>
        </w:rPr>
        <w:t xml:space="preserve"> - Grudge Theory</w:t>
      </w:r>
    </w:p>
    <w:p w:rsidR="00F90E2E" w:rsidRPr="00061F9E" w:rsidRDefault="00F90E2E" w:rsidP="00F90E2E">
      <w:pPr>
        <w:pStyle w:val="ListParagraph"/>
        <w:numPr>
          <w:ilvl w:val="1"/>
          <w:numId w:val="1"/>
        </w:numPr>
        <w:rPr>
          <w:b/>
          <w:bCs/>
        </w:rPr>
      </w:pPr>
      <w:r w:rsidRPr="00061F9E">
        <w:rPr>
          <w:b/>
          <w:bCs/>
        </w:rPr>
        <w:t xml:space="preserve">Claims on Rewards and Benefits </w:t>
      </w:r>
    </w:p>
    <w:p w:rsidR="00F90E2E" w:rsidRPr="00061F9E" w:rsidRDefault="00F90E2E" w:rsidP="00F90E2E">
      <w:pPr>
        <w:pStyle w:val="ListParagraph"/>
        <w:numPr>
          <w:ilvl w:val="1"/>
          <w:numId w:val="1"/>
        </w:numPr>
        <w:rPr>
          <w:b/>
          <w:bCs/>
        </w:rPr>
      </w:pPr>
      <w:r w:rsidRPr="00061F9E">
        <w:rPr>
          <w:b/>
          <w:bCs/>
        </w:rPr>
        <w:t xml:space="preserve">To Prevent Recurrence </w:t>
      </w:r>
    </w:p>
    <w:p w:rsidR="00F90E2E" w:rsidRPr="00061F9E" w:rsidRDefault="00F90E2E" w:rsidP="00F90E2E">
      <w:pPr>
        <w:pStyle w:val="ListParagraph"/>
        <w:numPr>
          <w:ilvl w:val="1"/>
          <w:numId w:val="1"/>
        </w:numPr>
        <w:rPr>
          <w:b/>
          <w:bCs/>
        </w:rPr>
      </w:pPr>
      <w:r w:rsidRPr="00061F9E">
        <w:rPr>
          <w:b/>
          <w:bCs/>
        </w:rPr>
        <w:t>Continued Suffering</w:t>
      </w:r>
    </w:p>
    <w:p w:rsidR="00F90E2E" w:rsidRPr="00061F9E" w:rsidRDefault="00F90E2E" w:rsidP="00F90E2E">
      <w:pPr>
        <w:pStyle w:val="ListParagraph"/>
        <w:numPr>
          <w:ilvl w:val="1"/>
          <w:numId w:val="1"/>
        </w:numPr>
        <w:rPr>
          <w:b/>
          <w:bCs/>
        </w:rPr>
      </w:pPr>
      <w:r w:rsidRPr="00061F9E">
        <w:rPr>
          <w:b/>
          <w:bCs/>
        </w:rPr>
        <w:t>Pride and Revenge</w:t>
      </w:r>
    </w:p>
    <w:p w:rsidR="00F90E2E" w:rsidRPr="00061F9E" w:rsidRDefault="00F90E2E" w:rsidP="00F90E2E">
      <w:pPr>
        <w:pStyle w:val="ListParagraph"/>
        <w:numPr>
          <w:ilvl w:val="1"/>
          <w:numId w:val="1"/>
        </w:numPr>
        <w:rPr>
          <w:b/>
          <w:bCs/>
        </w:rPr>
      </w:pPr>
      <w:r w:rsidRPr="00061F9E">
        <w:rPr>
          <w:b/>
          <w:bCs/>
        </w:rPr>
        <w:t>Principled Refusal</w:t>
      </w:r>
    </w:p>
    <w:p w:rsidR="00F90E2E" w:rsidRPr="00A95CE0" w:rsidRDefault="00F90E2E" w:rsidP="00F90E2E">
      <w:pPr>
        <w:ind w:left="1080" w:firstLine="0"/>
        <w:rPr>
          <w:b/>
          <w:bCs/>
          <w:sz w:val="12"/>
          <w:szCs w:val="12"/>
        </w:rPr>
      </w:pPr>
    </w:p>
    <w:p w:rsidR="00F90E2E" w:rsidRPr="00061F9E" w:rsidRDefault="00F90E2E" w:rsidP="00F90E2E">
      <w:pPr>
        <w:pStyle w:val="ListParagraph"/>
        <w:numPr>
          <w:ilvl w:val="0"/>
          <w:numId w:val="1"/>
        </w:numPr>
        <w:rPr>
          <w:rFonts w:cs="David"/>
          <w:b/>
          <w:bCs/>
          <w:color w:val="000000"/>
          <w:u w:val="single"/>
          <w:shd w:val="clear" w:color="auto" w:fill="FFFFFF"/>
        </w:rPr>
      </w:pPr>
      <w:proofErr w:type="spellStart"/>
      <w:r w:rsidRPr="00061F9E">
        <w:rPr>
          <w:rFonts w:cs="David"/>
          <w:b/>
          <w:bCs/>
          <w:color w:val="000000"/>
          <w:u w:val="single"/>
          <w:shd w:val="clear" w:color="auto" w:fill="FFFFFF"/>
        </w:rPr>
        <w:t>Vayikra</w:t>
      </w:r>
      <w:proofErr w:type="spellEnd"/>
      <w:r w:rsidRPr="00061F9E">
        <w:rPr>
          <w:rFonts w:cs="David"/>
          <w:b/>
          <w:bCs/>
          <w:color w:val="000000"/>
          <w:u w:val="single"/>
          <w:shd w:val="clear" w:color="auto" w:fill="FFFFFF"/>
        </w:rPr>
        <w:t>, 19:18</w:t>
      </w:r>
    </w:p>
    <w:tbl>
      <w:tblPr>
        <w:tblStyle w:val="TableGrid"/>
        <w:tblW w:w="0" w:type="auto"/>
        <w:tblLook w:val="04A0" w:firstRow="1" w:lastRow="0" w:firstColumn="1" w:lastColumn="0" w:noHBand="0" w:noVBand="1"/>
      </w:tblPr>
      <w:tblGrid>
        <w:gridCol w:w="8028"/>
        <w:gridCol w:w="6588"/>
      </w:tblGrid>
      <w:tr w:rsidR="00F90E2E" w:rsidRPr="00061F9E" w:rsidTr="00F90E2E">
        <w:trPr>
          <w:trHeight w:val="620"/>
        </w:trPr>
        <w:tc>
          <w:tcPr>
            <w:tcW w:w="8028" w:type="dxa"/>
          </w:tcPr>
          <w:p w:rsidR="00F90E2E" w:rsidRPr="00A95CE0" w:rsidRDefault="00F90E2E" w:rsidP="009847D7">
            <w:pPr>
              <w:ind w:firstLine="0"/>
              <w:rPr>
                <w:lang w:bidi="he-IL"/>
              </w:rPr>
            </w:pPr>
            <w:r w:rsidRPr="00A95CE0">
              <w:rPr>
                <w:rFonts w:cs="David" w:hint="cs"/>
                <w:color w:val="000000"/>
                <w:shd w:val="clear" w:color="auto" w:fill="FFFFFF"/>
              </w:rPr>
              <w:t xml:space="preserve">Thou shalt not take vengeance, nor bear any grudge against the children of thy people, but thou shalt love thy </w:t>
            </w:r>
            <w:proofErr w:type="spellStart"/>
            <w:r w:rsidRPr="00A95CE0">
              <w:rPr>
                <w:rFonts w:cs="David" w:hint="cs"/>
                <w:color w:val="000000"/>
                <w:shd w:val="clear" w:color="auto" w:fill="FFFFFF"/>
              </w:rPr>
              <w:t>neighbour</w:t>
            </w:r>
            <w:proofErr w:type="spellEnd"/>
            <w:r w:rsidRPr="00A95CE0">
              <w:rPr>
                <w:rFonts w:cs="David" w:hint="cs"/>
                <w:color w:val="000000"/>
                <w:shd w:val="clear" w:color="auto" w:fill="FFFFFF"/>
              </w:rPr>
              <w:t xml:space="preserve"> as thyself: I am the LORD.</w:t>
            </w:r>
          </w:p>
        </w:tc>
        <w:tc>
          <w:tcPr>
            <w:tcW w:w="6588" w:type="dxa"/>
          </w:tcPr>
          <w:p w:rsidR="00F90E2E" w:rsidRPr="00A95CE0" w:rsidRDefault="00F90E2E" w:rsidP="009847D7">
            <w:pPr>
              <w:ind w:firstLine="0"/>
              <w:jc w:val="right"/>
              <w:rPr>
                <w:lang w:bidi="he-IL"/>
              </w:rPr>
            </w:pPr>
            <w:r w:rsidRPr="00A95CE0">
              <w:rPr>
                <w:rFonts w:cs="Times New Roman"/>
                <w:rtl/>
                <w:lang w:bidi="he-IL"/>
              </w:rPr>
              <w:t>יח) לֹא־תִקֹּם וְלֹא־תִטֹּר אֶת־בְּנֵי עַמֶּךָ וְאָהַבְתָּ לְרֵעֲךָ כָּמוֹךָ אֲנִי יְקֹוָק</w:t>
            </w:r>
          </w:p>
        </w:tc>
      </w:tr>
    </w:tbl>
    <w:p w:rsidR="00852FB4" w:rsidRPr="00A70733" w:rsidRDefault="00852FB4" w:rsidP="00A70733">
      <w:pPr>
        <w:ind w:firstLine="0"/>
        <w:rPr>
          <w:b/>
          <w:bCs/>
          <w:sz w:val="14"/>
          <w:szCs w:val="14"/>
          <w:u w:val="single"/>
          <w:lang w:bidi="he-IL"/>
        </w:rPr>
      </w:pPr>
    </w:p>
    <w:p w:rsidR="00523368" w:rsidRPr="00061F9E" w:rsidRDefault="00523368" w:rsidP="00523368">
      <w:pPr>
        <w:pStyle w:val="ListParagraph"/>
        <w:numPr>
          <w:ilvl w:val="0"/>
          <w:numId w:val="1"/>
        </w:numPr>
        <w:rPr>
          <w:b/>
          <w:bCs/>
          <w:u w:val="single"/>
          <w:lang w:bidi="he-IL"/>
        </w:rPr>
      </w:pPr>
      <w:r w:rsidRPr="00061F9E">
        <w:rPr>
          <w:b/>
          <w:bCs/>
          <w:u w:val="single"/>
          <w:lang w:bidi="he-IL"/>
        </w:rPr>
        <w:t xml:space="preserve">Talmud </w:t>
      </w:r>
      <w:proofErr w:type="spellStart"/>
      <w:r w:rsidRPr="00061F9E">
        <w:rPr>
          <w:b/>
          <w:bCs/>
          <w:u w:val="single"/>
          <w:lang w:bidi="he-IL"/>
        </w:rPr>
        <w:t>Bavli</w:t>
      </w:r>
      <w:proofErr w:type="spellEnd"/>
      <w:r w:rsidRPr="00061F9E">
        <w:rPr>
          <w:b/>
          <w:bCs/>
          <w:u w:val="single"/>
          <w:lang w:bidi="he-IL"/>
        </w:rPr>
        <w:t xml:space="preserve">, </w:t>
      </w:r>
      <w:proofErr w:type="spellStart"/>
      <w:r w:rsidRPr="00061F9E">
        <w:rPr>
          <w:b/>
          <w:bCs/>
          <w:u w:val="single"/>
          <w:lang w:bidi="he-IL"/>
        </w:rPr>
        <w:t>Yoma</w:t>
      </w:r>
      <w:proofErr w:type="spellEnd"/>
      <w:r w:rsidRPr="00061F9E">
        <w:rPr>
          <w:b/>
          <w:bCs/>
          <w:u w:val="single"/>
          <w:lang w:bidi="he-IL"/>
        </w:rPr>
        <w:t xml:space="preserve"> 85a</w:t>
      </w:r>
    </w:p>
    <w:tbl>
      <w:tblPr>
        <w:tblStyle w:val="TableGrid"/>
        <w:tblW w:w="0" w:type="auto"/>
        <w:tblLook w:val="04A0" w:firstRow="1" w:lastRow="0" w:firstColumn="1" w:lastColumn="0" w:noHBand="0" w:noVBand="1"/>
      </w:tblPr>
      <w:tblGrid>
        <w:gridCol w:w="9558"/>
        <w:gridCol w:w="5058"/>
      </w:tblGrid>
      <w:tr w:rsidR="00523368" w:rsidRPr="00061F9E" w:rsidTr="00523368">
        <w:tc>
          <w:tcPr>
            <w:tcW w:w="9558" w:type="dxa"/>
          </w:tcPr>
          <w:p w:rsidR="00523368" w:rsidRPr="00A95CE0" w:rsidRDefault="00523368" w:rsidP="00523368">
            <w:pPr>
              <w:ind w:firstLine="0"/>
              <w:rPr>
                <w:lang w:bidi="he-IL"/>
              </w:rPr>
            </w:pPr>
            <w:r w:rsidRPr="00A95CE0">
              <w:rPr>
                <w:lang w:bidi="he-IL"/>
              </w:rPr>
              <w:t>If one says: I shall sin and repent, sin and repent, no opportunity will be given to him to repent. [If one says]: I shall sin and the day of atonement will procure atonement for me, the day of atonement procures for him no atonement.</w:t>
            </w:r>
          </w:p>
        </w:tc>
        <w:tc>
          <w:tcPr>
            <w:tcW w:w="5058" w:type="dxa"/>
          </w:tcPr>
          <w:p w:rsidR="00523368" w:rsidRPr="00A95CE0" w:rsidRDefault="00523368" w:rsidP="00523368">
            <w:pPr>
              <w:ind w:firstLine="0"/>
              <w:jc w:val="right"/>
              <w:rPr>
                <w:u w:val="single"/>
                <w:lang w:bidi="he-IL"/>
              </w:rPr>
            </w:pPr>
            <w:r w:rsidRPr="00A95CE0">
              <w:rPr>
                <w:rFonts w:cs="Times New Roman"/>
                <w:rtl/>
                <w:lang w:bidi="he-IL"/>
              </w:rPr>
              <w:t>האומר אחטא ואשוב, אחטא ואשוב - אין מספיקין בידו לעשות תשובה, אחטא ויום הכפורים מכפר - אין יום הכפורים מכפר</w:t>
            </w:r>
          </w:p>
        </w:tc>
      </w:tr>
    </w:tbl>
    <w:p w:rsidR="00523368" w:rsidRPr="00A70733" w:rsidRDefault="00523368" w:rsidP="00523368">
      <w:pPr>
        <w:ind w:firstLine="0"/>
        <w:rPr>
          <w:b/>
          <w:bCs/>
          <w:sz w:val="14"/>
          <w:szCs w:val="14"/>
          <w:u w:val="single"/>
          <w:lang w:bidi="he-IL"/>
        </w:rPr>
      </w:pPr>
    </w:p>
    <w:p w:rsidR="00F56B30" w:rsidRPr="00061F9E" w:rsidRDefault="00F56B30" w:rsidP="00F56B30">
      <w:pPr>
        <w:pStyle w:val="ListParagraph"/>
        <w:numPr>
          <w:ilvl w:val="0"/>
          <w:numId w:val="1"/>
        </w:numPr>
        <w:rPr>
          <w:b/>
          <w:bCs/>
          <w:u w:val="single"/>
          <w:lang w:bidi="he-IL"/>
        </w:rPr>
      </w:pPr>
      <w:proofErr w:type="spellStart"/>
      <w:r w:rsidRPr="00061F9E">
        <w:rPr>
          <w:b/>
          <w:bCs/>
          <w:u w:val="single"/>
          <w:lang w:bidi="he-IL"/>
        </w:rPr>
        <w:t>Devarim</w:t>
      </w:r>
      <w:proofErr w:type="spellEnd"/>
      <w:r w:rsidRPr="00061F9E">
        <w:rPr>
          <w:b/>
          <w:bCs/>
          <w:u w:val="single"/>
          <w:lang w:bidi="he-IL"/>
        </w:rPr>
        <w:t xml:space="preserve"> 23:4-7</w:t>
      </w:r>
    </w:p>
    <w:tbl>
      <w:tblPr>
        <w:tblStyle w:val="TableGrid"/>
        <w:tblW w:w="0" w:type="auto"/>
        <w:tblLook w:val="04A0" w:firstRow="1" w:lastRow="0" w:firstColumn="1" w:lastColumn="0" w:noHBand="0" w:noVBand="1"/>
      </w:tblPr>
      <w:tblGrid>
        <w:gridCol w:w="9558"/>
        <w:gridCol w:w="5058"/>
      </w:tblGrid>
      <w:tr w:rsidR="00523368" w:rsidRPr="00061F9E" w:rsidTr="00523368">
        <w:trPr>
          <w:trHeight w:val="620"/>
        </w:trPr>
        <w:tc>
          <w:tcPr>
            <w:tcW w:w="9558" w:type="dxa"/>
          </w:tcPr>
          <w:p w:rsidR="00523368" w:rsidRPr="00A95CE0" w:rsidRDefault="00523368" w:rsidP="00A95CE0">
            <w:pPr>
              <w:ind w:firstLine="0"/>
              <w:rPr>
                <w:lang w:bidi="he-IL"/>
              </w:rPr>
            </w:pPr>
            <w:r w:rsidRPr="00A95CE0">
              <w:rPr>
                <w:rFonts w:cs="David"/>
                <w:color w:val="000000"/>
                <w:shd w:val="clear" w:color="auto" w:fill="FFFFFF"/>
              </w:rPr>
              <w:t>4</w:t>
            </w:r>
            <w:r w:rsidRPr="00A95CE0">
              <w:rPr>
                <w:rFonts w:cs="David"/>
                <w:color w:val="000000"/>
                <w:shd w:val="clear" w:color="auto" w:fill="FFFFFF"/>
              </w:rPr>
              <w:t>)</w:t>
            </w:r>
            <w:r w:rsidRPr="00A95CE0">
              <w:rPr>
                <w:rFonts w:cs="David"/>
                <w:color w:val="000000"/>
                <w:shd w:val="clear" w:color="auto" w:fill="FFFFFF"/>
              </w:rPr>
              <w:t xml:space="preserve"> An Ammonite or a Moabite shall not enter into the assembly of the LORD; even to the tenth generation shall none of them enter into the assembly of the LORD </w:t>
            </w:r>
            <w:r w:rsidRPr="00A95CE0">
              <w:rPr>
                <w:rFonts w:cs="David"/>
                <w:color w:val="000000"/>
                <w:shd w:val="clear" w:color="auto" w:fill="FFFFFF"/>
              </w:rPr>
              <w:t>forever</w:t>
            </w:r>
            <w:r w:rsidRPr="00A95CE0">
              <w:rPr>
                <w:rFonts w:cs="David"/>
                <w:color w:val="000000"/>
                <w:shd w:val="clear" w:color="auto" w:fill="FFFFFF"/>
              </w:rPr>
              <w:t>;</w:t>
            </w:r>
            <w:r w:rsidRPr="00A95CE0">
              <w:rPr>
                <w:rFonts w:cs="David"/>
                <w:color w:val="000000"/>
                <w:shd w:val="clear" w:color="auto" w:fill="FFFFFF"/>
              </w:rPr>
              <w:t xml:space="preserve">  </w:t>
            </w:r>
            <w:r w:rsidR="00A95CE0">
              <w:rPr>
                <w:rFonts w:cs="David"/>
                <w:color w:val="000000"/>
                <w:shd w:val="clear" w:color="auto" w:fill="FFFFFF"/>
              </w:rPr>
              <w:t xml:space="preserve"> </w:t>
            </w:r>
            <w:r w:rsidRPr="00A95CE0">
              <w:rPr>
                <w:rFonts w:cs="David"/>
                <w:color w:val="000000"/>
                <w:shd w:val="clear" w:color="auto" w:fill="FFFFFF"/>
              </w:rPr>
              <w:t>5</w:t>
            </w:r>
            <w:r w:rsidRPr="00A95CE0">
              <w:rPr>
                <w:rFonts w:cs="David"/>
                <w:color w:val="000000"/>
                <w:shd w:val="clear" w:color="auto" w:fill="FFFFFF"/>
              </w:rPr>
              <w:t>)</w:t>
            </w:r>
            <w:r w:rsidRPr="00A95CE0">
              <w:rPr>
                <w:rFonts w:cs="David"/>
                <w:color w:val="000000"/>
                <w:shd w:val="clear" w:color="auto" w:fill="FFFFFF"/>
              </w:rPr>
              <w:t xml:space="preserve"> because they met you not with bread and with water in the way, when ye came forth out of Egypt; and because they hired against thee Balaam the son of </w:t>
            </w:r>
            <w:proofErr w:type="spellStart"/>
            <w:r w:rsidRPr="00A95CE0">
              <w:rPr>
                <w:rFonts w:cs="David"/>
                <w:color w:val="000000"/>
                <w:shd w:val="clear" w:color="auto" w:fill="FFFFFF"/>
              </w:rPr>
              <w:t>Beor</w:t>
            </w:r>
            <w:proofErr w:type="spellEnd"/>
            <w:r w:rsidRPr="00A95CE0">
              <w:rPr>
                <w:rFonts w:cs="David"/>
                <w:color w:val="000000"/>
                <w:shd w:val="clear" w:color="auto" w:fill="FFFFFF"/>
              </w:rPr>
              <w:t xml:space="preserve"> from </w:t>
            </w:r>
            <w:proofErr w:type="spellStart"/>
            <w:r w:rsidRPr="00A95CE0">
              <w:rPr>
                <w:rFonts w:cs="David"/>
                <w:color w:val="000000"/>
                <w:shd w:val="clear" w:color="auto" w:fill="FFFFFF"/>
              </w:rPr>
              <w:t>Pethor</w:t>
            </w:r>
            <w:proofErr w:type="spellEnd"/>
            <w:r w:rsidRPr="00A95CE0">
              <w:rPr>
                <w:rFonts w:cs="David"/>
                <w:color w:val="000000"/>
                <w:shd w:val="clear" w:color="auto" w:fill="FFFFFF"/>
              </w:rPr>
              <w:t xml:space="preserve"> of Aram-</w:t>
            </w:r>
            <w:proofErr w:type="spellStart"/>
            <w:r w:rsidRPr="00A95CE0">
              <w:rPr>
                <w:rFonts w:cs="David"/>
                <w:color w:val="000000"/>
                <w:shd w:val="clear" w:color="auto" w:fill="FFFFFF"/>
              </w:rPr>
              <w:t>naharaim</w:t>
            </w:r>
            <w:proofErr w:type="spellEnd"/>
            <w:r w:rsidRPr="00A95CE0">
              <w:rPr>
                <w:rFonts w:cs="David"/>
                <w:color w:val="000000"/>
                <w:shd w:val="clear" w:color="auto" w:fill="FFFFFF"/>
              </w:rPr>
              <w:t>, to curse thee.</w:t>
            </w:r>
            <w:r w:rsidRPr="00A95CE0">
              <w:rPr>
                <w:rFonts w:cs="David"/>
                <w:color w:val="000000"/>
                <w:shd w:val="clear" w:color="auto" w:fill="FFFFFF"/>
              </w:rPr>
              <w:t xml:space="preserve"> 6)</w:t>
            </w:r>
            <w:r w:rsidRPr="00A95CE0">
              <w:rPr>
                <w:rFonts w:cs="David"/>
                <w:color w:val="000000"/>
                <w:shd w:val="clear" w:color="auto" w:fill="FFFFFF"/>
              </w:rPr>
              <w:t xml:space="preserve"> Nevertheless the LORD thy God would not hearken unto Balaam; but the LORD thy God turned the curse into a blessing unto thee, because the LORD thy God loved thee.</w:t>
            </w:r>
            <w:r w:rsidRPr="00A95CE0">
              <w:rPr>
                <w:rFonts w:cs="David"/>
                <w:color w:val="000000"/>
                <w:shd w:val="clear" w:color="auto" w:fill="FFFFFF"/>
              </w:rPr>
              <w:t xml:space="preserve"> </w:t>
            </w:r>
            <w:proofErr w:type="gramStart"/>
            <w:r w:rsidRPr="00A95CE0">
              <w:rPr>
                <w:rFonts w:cs="David"/>
                <w:color w:val="000000"/>
                <w:shd w:val="clear" w:color="auto" w:fill="FFFFFF"/>
              </w:rPr>
              <w:t>7</w:t>
            </w:r>
            <w:r w:rsidRPr="00A95CE0">
              <w:rPr>
                <w:rFonts w:cs="David"/>
                <w:color w:val="000000"/>
                <w:shd w:val="clear" w:color="auto" w:fill="FFFFFF"/>
              </w:rPr>
              <w:t>)</w:t>
            </w:r>
            <w:r w:rsidRPr="00A95CE0">
              <w:rPr>
                <w:rFonts w:cs="David"/>
                <w:color w:val="000000"/>
                <w:shd w:val="clear" w:color="auto" w:fill="FFFFFF"/>
              </w:rPr>
              <w:t xml:space="preserve"> Thou shalt not seek their peace nor their prosperity all thy days for ever.</w:t>
            </w:r>
            <w:proofErr w:type="gramEnd"/>
            <w:r w:rsidRPr="00A95CE0">
              <w:rPr>
                <w:rFonts w:cs="David"/>
                <w:color w:val="000000"/>
                <w:shd w:val="clear" w:color="auto" w:fill="FFFFFF"/>
              </w:rPr>
              <w:t xml:space="preserve"> {S}</w:t>
            </w:r>
          </w:p>
        </w:tc>
        <w:tc>
          <w:tcPr>
            <w:tcW w:w="5058" w:type="dxa"/>
          </w:tcPr>
          <w:p w:rsidR="00523368" w:rsidRPr="00A95CE0" w:rsidRDefault="00523368" w:rsidP="00523368">
            <w:pPr>
              <w:ind w:firstLine="0"/>
              <w:jc w:val="right"/>
              <w:rPr>
                <w:lang w:bidi="he-IL"/>
              </w:rPr>
            </w:pPr>
            <w:r w:rsidRPr="00A95CE0">
              <w:rPr>
                <w:rFonts w:cs="Times New Roman"/>
                <w:rtl/>
                <w:lang w:bidi="he-IL"/>
              </w:rPr>
              <w:t>ד) לֹא־יָבֹא עַמּוֹנִי וּמוֹאָבִי בִּקְהַל יְקֹוָק גַּם דּוֹר עֲשִׂירִי לֹא־יָבֹא לָהֶם בִּקְהַל יְקֹוָק עַד־עוֹלָם</w:t>
            </w:r>
            <w:r w:rsidRPr="00A95CE0">
              <w:rPr>
                <w:rFonts w:cs="Times New Roman" w:hint="cs"/>
                <w:rtl/>
                <w:lang w:bidi="he-IL"/>
              </w:rPr>
              <w:t xml:space="preserve">. </w:t>
            </w:r>
            <w:r w:rsidRPr="00A95CE0">
              <w:rPr>
                <w:rFonts w:cs="Times New Roman"/>
                <w:rtl/>
                <w:lang w:bidi="he-IL"/>
              </w:rPr>
              <w:t>ה) עַל־דְּבַר אֲשֶׁר לֹא־קִדְּמוּ אֶתְכֶם בַּלֶּחֶם וּבַמַּיִם בַּדֶּרֶךְ בְּצֵאתְכֶם מִמִּצְרָיִם וַאֲשֶׁר שָׂכַר עָלֶיךָ אֶת־בִּלְעָם בֶּן־בְּעוֹר מִפְּתוֹר אֲרַם נַהֲרַיִם לְקַלְלֶךָּ</w:t>
            </w:r>
            <w:r w:rsidRPr="00A95CE0">
              <w:rPr>
                <w:rFonts w:cs="Times New Roman" w:hint="cs"/>
                <w:rtl/>
                <w:lang w:bidi="he-IL"/>
              </w:rPr>
              <w:t xml:space="preserve">.  </w:t>
            </w:r>
            <w:r w:rsidRPr="00A95CE0">
              <w:rPr>
                <w:rFonts w:cs="Times New Roman"/>
                <w:rtl/>
                <w:lang w:bidi="he-IL"/>
              </w:rPr>
              <w:t>ו) וְלֹא־אָבָה יְקֹוָק אֱלֹהֶיךָ לִשְׁמֹעַ אֶל־בִּלְעָם וַיַּהֲפֹךְ יְקֹוָק אֱלֹהֶיךָ לְּךָ אֶת־הַקְּלָלָה לִבְרָכָה כִּי אֲהֵבְךָ יְקֹוָק אֱלֹהֶיךָ</w:t>
            </w:r>
            <w:r w:rsidRPr="00A95CE0">
              <w:rPr>
                <w:rFonts w:cs="Times New Roman" w:hint="cs"/>
                <w:rtl/>
                <w:lang w:bidi="he-IL"/>
              </w:rPr>
              <w:t xml:space="preserve">.  </w:t>
            </w:r>
            <w:r w:rsidRPr="00A95CE0">
              <w:rPr>
                <w:rFonts w:cs="Times New Roman"/>
                <w:rtl/>
                <w:lang w:bidi="he-IL"/>
              </w:rPr>
              <w:t>ז) לֹא־תִדְרֹשׁ שְׁלֹמָם וְטֹבָתָם כָּל־יָמֶיךָ לְעוֹלָם: ס</w:t>
            </w:r>
          </w:p>
        </w:tc>
      </w:tr>
    </w:tbl>
    <w:p w:rsidR="00F56B30" w:rsidRDefault="00F56B30" w:rsidP="00523368">
      <w:pPr>
        <w:ind w:firstLine="0"/>
        <w:rPr>
          <w:b/>
          <w:bCs/>
          <w:u w:val="single"/>
          <w:lang w:bidi="he-IL"/>
        </w:rPr>
      </w:pPr>
    </w:p>
    <w:p w:rsidR="00523368" w:rsidRPr="00061F9E" w:rsidRDefault="00523368" w:rsidP="00523368">
      <w:pPr>
        <w:ind w:firstLine="0"/>
        <w:rPr>
          <w:b/>
          <w:bCs/>
          <w:u w:val="single"/>
        </w:rPr>
      </w:pPr>
      <w:r w:rsidRPr="00061F9E">
        <w:rPr>
          <w:b/>
          <w:bCs/>
          <w:u w:val="single"/>
        </w:rPr>
        <w:t>Part 4 – Detriments</w:t>
      </w:r>
    </w:p>
    <w:p w:rsidR="00523368" w:rsidRPr="00061F9E" w:rsidRDefault="00061F9E" w:rsidP="00061F9E">
      <w:pPr>
        <w:pStyle w:val="ListParagraph"/>
        <w:numPr>
          <w:ilvl w:val="0"/>
          <w:numId w:val="1"/>
        </w:numPr>
        <w:rPr>
          <w:b/>
          <w:bCs/>
          <w:u w:val="single"/>
        </w:rPr>
      </w:pPr>
      <w:r w:rsidRPr="00061F9E">
        <w:rPr>
          <w:b/>
          <w:bCs/>
          <w:u w:val="single"/>
        </w:rPr>
        <w:t xml:space="preserve">Michael </w:t>
      </w:r>
      <w:r w:rsidR="00523368" w:rsidRPr="00061F9E">
        <w:rPr>
          <w:b/>
          <w:bCs/>
          <w:u w:val="single"/>
        </w:rPr>
        <w:t xml:space="preserve">McCullough and </w:t>
      </w:r>
      <w:r w:rsidRPr="00061F9E">
        <w:rPr>
          <w:b/>
          <w:bCs/>
          <w:u w:val="single"/>
        </w:rPr>
        <w:t xml:space="preserve">Everett </w:t>
      </w:r>
      <w:r w:rsidR="00523368" w:rsidRPr="00061F9E">
        <w:rPr>
          <w:b/>
          <w:bCs/>
          <w:u w:val="single"/>
        </w:rPr>
        <w:t>Worthington</w:t>
      </w:r>
      <w:r w:rsidRPr="00061F9E">
        <w:rPr>
          <w:b/>
          <w:bCs/>
          <w:u w:val="single"/>
        </w:rPr>
        <w:t>, “</w:t>
      </w:r>
      <w:r w:rsidRPr="00061F9E">
        <w:rPr>
          <w:b/>
          <w:bCs/>
          <w:u w:val="single"/>
        </w:rPr>
        <w:t>Encouraging clients to forgive</w:t>
      </w:r>
      <w:r w:rsidRPr="00061F9E">
        <w:rPr>
          <w:b/>
          <w:bCs/>
          <w:u w:val="single"/>
        </w:rPr>
        <w:t xml:space="preserve"> </w:t>
      </w:r>
      <w:r w:rsidRPr="00061F9E">
        <w:rPr>
          <w:b/>
          <w:bCs/>
          <w:u w:val="single"/>
        </w:rPr>
        <w:t>people who have hurt them: Review, critique, and research prospectus</w:t>
      </w:r>
      <w:r w:rsidRPr="00061F9E">
        <w:rPr>
          <w:b/>
          <w:bCs/>
          <w:u w:val="single"/>
        </w:rPr>
        <w:t>,”</w:t>
      </w:r>
      <w:r w:rsidR="00523368" w:rsidRPr="00061F9E">
        <w:rPr>
          <w:b/>
          <w:bCs/>
          <w:u w:val="single"/>
        </w:rPr>
        <w:t xml:space="preserve"> </w:t>
      </w:r>
      <w:r w:rsidRPr="00061F9E">
        <w:rPr>
          <w:b/>
          <w:bCs/>
          <w:i/>
          <w:iCs/>
          <w:u w:val="single"/>
        </w:rPr>
        <w:t>Journal of</w:t>
      </w:r>
      <w:r w:rsidRPr="00061F9E">
        <w:rPr>
          <w:b/>
          <w:bCs/>
          <w:i/>
          <w:iCs/>
          <w:u w:val="single"/>
        </w:rPr>
        <w:t xml:space="preserve"> </w:t>
      </w:r>
      <w:r w:rsidRPr="00061F9E">
        <w:rPr>
          <w:b/>
          <w:bCs/>
          <w:i/>
          <w:iCs/>
          <w:u w:val="single"/>
        </w:rPr>
        <w:t>Psychology and Theology</w:t>
      </w:r>
      <w:r w:rsidRPr="00061F9E">
        <w:rPr>
          <w:b/>
          <w:bCs/>
          <w:u w:val="single"/>
        </w:rPr>
        <w:t>, 22 (1994), 3-20.</w:t>
      </w:r>
    </w:p>
    <w:p w:rsidR="00523368" w:rsidRPr="00061F9E" w:rsidRDefault="00523368" w:rsidP="00523368">
      <w:pPr>
        <w:pStyle w:val="ListParagraph"/>
        <w:numPr>
          <w:ilvl w:val="0"/>
          <w:numId w:val="4"/>
        </w:numPr>
        <w:rPr>
          <w:b/>
          <w:bCs/>
        </w:rPr>
      </w:pPr>
      <w:r w:rsidRPr="00061F9E">
        <w:rPr>
          <w:b/>
          <w:bCs/>
        </w:rPr>
        <w:t>Wounds are too fresh</w:t>
      </w:r>
    </w:p>
    <w:p w:rsidR="00523368" w:rsidRPr="00061F9E" w:rsidRDefault="00523368" w:rsidP="00523368">
      <w:pPr>
        <w:pStyle w:val="ListParagraph"/>
        <w:numPr>
          <w:ilvl w:val="0"/>
          <w:numId w:val="4"/>
        </w:numPr>
        <w:rPr>
          <w:b/>
          <w:bCs/>
        </w:rPr>
      </w:pPr>
      <w:r w:rsidRPr="00061F9E">
        <w:rPr>
          <w:b/>
          <w:bCs/>
        </w:rPr>
        <w:t>Violation too severe</w:t>
      </w:r>
    </w:p>
    <w:p w:rsidR="00523368" w:rsidRDefault="00523368" w:rsidP="00523368">
      <w:pPr>
        <w:pStyle w:val="ListParagraph"/>
        <w:numPr>
          <w:ilvl w:val="0"/>
          <w:numId w:val="4"/>
        </w:numPr>
        <w:rPr>
          <w:b/>
          <w:bCs/>
        </w:rPr>
      </w:pPr>
      <w:r w:rsidRPr="00061F9E">
        <w:rPr>
          <w:b/>
          <w:bCs/>
        </w:rPr>
        <w:t>Mistreatment is ongoing</w:t>
      </w:r>
    </w:p>
    <w:p w:rsidR="00852FB4" w:rsidRDefault="00852FB4" w:rsidP="00852FB4">
      <w:pPr>
        <w:rPr>
          <w:b/>
          <w:bCs/>
        </w:rPr>
      </w:pPr>
    </w:p>
    <w:p w:rsidR="00A70733" w:rsidRDefault="00A70733" w:rsidP="00852FB4">
      <w:pPr>
        <w:rPr>
          <w:b/>
          <w:bCs/>
        </w:rPr>
      </w:pPr>
    </w:p>
    <w:p w:rsidR="00852FB4" w:rsidRDefault="00852FB4" w:rsidP="00852FB4">
      <w:pPr>
        <w:pStyle w:val="ListParagraph"/>
        <w:numPr>
          <w:ilvl w:val="0"/>
          <w:numId w:val="1"/>
        </w:numPr>
        <w:rPr>
          <w:b/>
          <w:bCs/>
        </w:rPr>
      </w:pPr>
      <w:proofErr w:type="spellStart"/>
      <w:r>
        <w:rPr>
          <w:b/>
          <w:bCs/>
        </w:rPr>
        <w:lastRenderedPageBreak/>
        <w:t>Shulchan</w:t>
      </w:r>
      <w:proofErr w:type="spellEnd"/>
      <w:r>
        <w:rPr>
          <w:b/>
          <w:bCs/>
        </w:rPr>
        <w:t xml:space="preserve"> </w:t>
      </w:r>
      <w:proofErr w:type="spellStart"/>
      <w:r>
        <w:rPr>
          <w:b/>
          <w:bCs/>
        </w:rPr>
        <w:t>Aruch</w:t>
      </w:r>
      <w:proofErr w:type="spellEnd"/>
      <w:r>
        <w:rPr>
          <w:b/>
          <w:bCs/>
        </w:rPr>
        <w:t xml:space="preserve">, </w:t>
      </w:r>
      <w:proofErr w:type="spellStart"/>
      <w:r>
        <w:rPr>
          <w:b/>
          <w:bCs/>
        </w:rPr>
        <w:t>Orach</w:t>
      </w:r>
      <w:proofErr w:type="spellEnd"/>
      <w:r>
        <w:rPr>
          <w:b/>
          <w:bCs/>
        </w:rPr>
        <w:t xml:space="preserve"> </w:t>
      </w:r>
      <w:proofErr w:type="spellStart"/>
      <w:r>
        <w:rPr>
          <w:b/>
          <w:bCs/>
        </w:rPr>
        <w:t>Chaim</w:t>
      </w:r>
      <w:proofErr w:type="spellEnd"/>
      <w:r>
        <w:rPr>
          <w:b/>
          <w:bCs/>
        </w:rPr>
        <w:t>, 606:1</w:t>
      </w:r>
    </w:p>
    <w:p w:rsidR="00852FB4" w:rsidRPr="00852FB4" w:rsidRDefault="00852FB4" w:rsidP="00852FB4">
      <w:pPr>
        <w:pStyle w:val="ListParagraph"/>
        <w:ind w:firstLine="0"/>
        <w:jc w:val="right"/>
        <w:rPr>
          <w:rFonts w:hint="cs"/>
          <w:rtl/>
          <w:lang w:bidi="he-IL"/>
        </w:rPr>
      </w:pPr>
      <w:r w:rsidRPr="00852FB4">
        <w:rPr>
          <w:rFonts w:cs="Times New Roman"/>
          <w:rtl/>
          <w:lang w:bidi="he-IL"/>
        </w:rPr>
        <w:t>עבירות שבין אדם לחבירו אין יום הכיפורים מכפר עד שיפייסנו; אפילו לא הקניטו אלא בדברים, צריך לפייסו; ואם אינו מתפייס בראשונה, יחזור וילך פעם שנייה ושלישית, ובכל פעם יקח עמו שלשה אנשים, ואם אינו מתפייס בשלשה פעמים אינו זקוק לו. (מיהו יאמר אח"כ לפני י' שבקש ממנו מחילה) (מרדכי דיומא ומהרי"ל); ואם הוא רבו, צריך לילך לו כמה פעמים עד שיתפייס. הגה: והמוחל לא יהיה אכזרי מלמחול (מהרי"ל), אם לא שמכוון לטובת המבקש מחילה (גמרא דיומא); ואם הוציא עליו שם רע, אינו צריך למחול לו. (מרדכי וסמ"ג והגה"מ פ"ב מהלכות תשובה ומהרי"ו</w:t>
      </w:r>
      <w:r w:rsidRPr="00852FB4">
        <w:rPr>
          <w:rFonts w:cs="Times New Roman" w:hint="cs"/>
          <w:rtl/>
          <w:lang w:bidi="he-IL"/>
        </w:rPr>
        <w:t>).</w:t>
      </w:r>
    </w:p>
    <w:p w:rsidR="00061F9E" w:rsidRPr="00A91152" w:rsidRDefault="00061F9E" w:rsidP="00061F9E">
      <w:pPr>
        <w:ind w:firstLine="0"/>
        <w:rPr>
          <w:b/>
          <w:bCs/>
          <w:sz w:val="14"/>
          <w:szCs w:val="14"/>
        </w:rPr>
      </w:pPr>
    </w:p>
    <w:p w:rsidR="00061F9E" w:rsidRPr="0043780C" w:rsidRDefault="00061F9E" w:rsidP="00A91152">
      <w:pPr>
        <w:pStyle w:val="ListParagraph"/>
        <w:numPr>
          <w:ilvl w:val="0"/>
          <w:numId w:val="1"/>
        </w:numPr>
        <w:rPr>
          <w:b/>
          <w:bCs/>
          <w:i/>
          <w:iCs/>
          <w:u w:val="single"/>
        </w:rPr>
      </w:pPr>
      <w:r w:rsidRPr="0043780C">
        <w:rPr>
          <w:b/>
          <w:bCs/>
          <w:u w:val="single"/>
        </w:rPr>
        <w:t xml:space="preserve">Laura </w:t>
      </w:r>
      <w:proofErr w:type="spellStart"/>
      <w:r w:rsidRPr="0043780C">
        <w:rPr>
          <w:b/>
          <w:bCs/>
          <w:u w:val="single"/>
        </w:rPr>
        <w:t>Luchies</w:t>
      </w:r>
      <w:proofErr w:type="spellEnd"/>
      <w:r w:rsidRPr="0043780C">
        <w:rPr>
          <w:b/>
          <w:bCs/>
          <w:u w:val="single"/>
        </w:rPr>
        <w:t xml:space="preserve">, </w:t>
      </w:r>
      <w:proofErr w:type="gramStart"/>
      <w:r w:rsidRPr="0043780C">
        <w:rPr>
          <w:b/>
          <w:bCs/>
          <w:u w:val="single"/>
        </w:rPr>
        <w:t>et</w:t>
      </w:r>
      <w:proofErr w:type="gramEnd"/>
      <w:r w:rsidRPr="0043780C">
        <w:rPr>
          <w:b/>
          <w:bCs/>
          <w:u w:val="single"/>
        </w:rPr>
        <w:t xml:space="preserve">. al., “The Doormat Effect: When Forgiving Erodes Self-Respect and Self-Concept Clarity,” </w:t>
      </w:r>
      <w:r w:rsidRPr="0043780C">
        <w:rPr>
          <w:b/>
          <w:bCs/>
          <w:i/>
          <w:iCs/>
          <w:u w:val="single"/>
          <w:lang w:bidi="he-IL"/>
        </w:rPr>
        <w:t>Journal of Personality and Social Psychology</w:t>
      </w:r>
      <w:r w:rsidRPr="0043780C">
        <w:rPr>
          <w:b/>
          <w:bCs/>
          <w:i/>
          <w:iCs/>
          <w:u w:val="single"/>
          <w:lang w:bidi="he-IL"/>
        </w:rPr>
        <w:t xml:space="preserve">, </w:t>
      </w:r>
      <w:r w:rsidRPr="0043780C">
        <w:rPr>
          <w:b/>
          <w:bCs/>
          <w:u w:val="single"/>
          <w:lang w:bidi="he-IL"/>
        </w:rPr>
        <w:t>98:5 (2010), 734-749</w:t>
      </w:r>
      <w:r w:rsidR="0043780C">
        <w:rPr>
          <w:lang w:bidi="he-IL"/>
        </w:rPr>
        <w:t>.</w:t>
      </w:r>
    </w:p>
    <w:p w:rsidR="00061F9E" w:rsidRPr="00A91152" w:rsidRDefault="00061F9E" w:rsidP="0043780C">
      <w:pPr>
        <w:rPr>
          <w:b/>
          <w:bCs/>
          <w:i/>
          <w:iCs/>
          <w:sz w:val="18"/>
          <w:szCs w:val="18"/>
          <w:u w:val="single"/>
        </w:rPr>
      </w:pPr>
    </w:p>
    <w:p w:rsidR="00061F9E" w:rsidRPr="0043780C" w:rsidRDefault="00061F9E" w:rsidP="00A91152">
      <w:pPr>
        <w:pStyle w:val="ListParagraph"/>
        <w:numPr>
          <w:ilvl w:val="0"/>
          <w:numId w:val="1"/>
        </w:numPr>
        <w:rPr>
          <w:b/>
          <w:bCs/>
          <w:u w:val="single"/>
        </w:rPr>
      </w:pPr>
      <w:r w:rsidRPr="0043780C">
        <w:rPr>
          <w:b/>
          <w:bCs/>
          <w:u w:val="single"/>
        </w:rPr>
        <w:t xml:space="preserve">James McNulty, “Forgiveness in Marriage: Putting the Benefits into Context,” </w:t>
      </w:r>
      <w:r w:rsidRPr="0043780C">
        <w:rPr>
          <w:b/>
          <w:bCs/>
          <w:i/>
          <w:iCs/>
          <w:u w:val="single"/>
        </w:rPr>
        <w:t>Journal of Family Psychology</w:t>
      </w:r>
      <w:r w:rsidRPr="0043780C">
        <w:rPr>
          <w:b/>
          <w:bCs/>
          <w:u w:val="single"/>
        </w:rPr>
        <w:t>, 22:1 (2008) 171-175</w:t>
      </w:r>
      <w:r w:rsidR="0043780C">
        <w:t xml:space="preserve"> </w:t>
      </w:r>
    </w:p>
    <w:p w:rsidR="00061F9E" w:rsidRDefault="00061F9E" w:rsidP="005A163A">
      <w:pPr>
        <w:ind w:left="360" w:firstLine="0"/>
        <w:rPr>
          <w:b/>
          <w:bCs/>
        </w:rPr>
      </w:pPr>
    </w:p>
    <w:p w:rsidR="005A163A" w:rsidRDefault="005A163A" w:rsidP="005A163A">
      <w:pPr>
        <w:ind w:firstLine="0"/>
        <w:rPr>
          <w:b/>
          <w:bCs/>
          <w:u w:val="single"/>
        </w:rPr>
      </w:pPr>
      <w:r>
        <w:rPr>
          <w:b/>
          <w:bCs/>
          <w:u w:val="single"/>
        </w:rPr>
        <w:t>Part 5 – Benefits Part 2 (Jewish)</w:t>
      </w:r>
    </w:p>
    <w:p w:rsidR="00852FB4" w:rsidRPr="00852FB4" w:rsidRDefault="00852FB4" w:rsidP="00852FB4">
      <w:pPr>
        <w:pStyle w:val="ListParagraph"/>
        <w:numPr>
          <w:ilvl w:val="0"/>
          <w:numId w:val="1"/>
        </w:numPr>
        <w:rPr>
          <w:b/>
          <w:bCs/>
          <w:u w:val="single"/>
        </w:rPr>
      </w:pPr>
      <w:r w:rsidRPr="003A3C57">
        <w:rPr>
          <w:b/>
          <w:bCs/>
          <w:u w:val="single"/>
          <w:lang w:bidi="he-IL"/>
        </w:rPr>
        <w:t xml:space="preserve">Talmud </w:t>
      </w:r>
      <w:proofErr w:type="spellStart"/>
      <w:r w:rsidRPr="003A3C57">
        <w:rPr>
          <w:b/>
          <w:bCs/>
          <w:u w:val="single"/>
          <w:lang w:bidi="he-IL"/>
        </w:rPr>
        <w:t>Bavli</w:t>
      </w:r>
      <w:proofErr w:type="spellEnd"/>
      <w:r w:rsidRPr="003A3C57">
        <w:rPr>
          <w:b/>
          <w:bCs/>
          <w:u w:val="single"/>
          <w:lang w:bidi="he-IL"/>
        </w:rPr>
        <w:t xml:space="preserve">, </w:t>
      </w:r>
      <w:proofErr w:type="spellStart"/>
      <w:r w:rsidRPr="003A3C57">
        <w:rPr>
          <w:b/>
          <w:bCs/>
          <w:u w:val="single"/>
          <w:lang w:bidi="he-IL"/>
        </w:rPr>
        <w:t>Bava</w:t>
      </w:r>
      <w:proofErr w:type="spellEnd"/>
      <w:r w:rsidRPr="003A3C57">
        <w:rPr>
          <w:b/>
          <w:bCs/>
          <w:u w:val="single"/>
          <w:lang w:bidi="he-IL"/>
        </w:rPr>
        <w:t xml:space="preserve"> Kama 92a</w:t>
      </w:r>
    </w:p>
    <w:tbl>
      <w:tblPr>
        <w:tblStyle w:val="TableGrid"/>
        <w:tblW w:w="0" w:type="auto"/>
        <w:tblLook w:val="04A0" w:firstRow="1" w:lastRow="0" w:firstColumn="1" w:lastColumn="0" w:noHBand="0" w:noVBand="1"/>
      </w:tblPr>
      <w:tblGrid>
        <w:gridCol w:w="9828"/>
        <w:gridCol w:w="4788"/>
      </w:tblGrid>
      <w:tr w:rsidR="00B344FB" w:rsidTr="00B344FB">
        <w:tc>
          <w:tcPr>
            <w:tcW w:w="9828" w:type="dxa"/>
          </w:tcPr>
          <w:p w:rsidR="00852FB4" w:rsidRPr="00BE6C98" w:rsidRDefault="00852FB4" w:rsidP="00B344FB">
            <w:pPr>
              <w:ind w:firstLine="0"/>
              <w:rPr>
                <w:lang w:bidi="he-IL"/>
              </w:rPr>
            </w:pPr>
            <w:r>
              <w:rPr>
                <w:lang w:bidi="he-IL"/>
              </w:rPr>
              <w:t>Mishnah. Even though the offender pays him [compensation], the offence is not forgiven until he asks him for pardon</w:t>
            </w:r>
            <w:r w:rsidR="00B344FB">
              <w:rPr>
                <w:lang w:bidi="he-IL"/>
              </w:rPr>
              <w:t>…</w:t>
            </w:r>
            <w:r>
              <w:rPr>
                <w:lang w:bidi="he-IL"/>
              </w:rPr>
              <w:t xml:space="preserve">  Whence can we learn that should the injured person not forgive him he would be [stigmatized as] cruel? from the words: so Abraham prayed unto god and god healed </w:t>
            </w:r>
            <w:proofErr w:type="spellStart"/>
            <w:r>
              <w:rPr>
                <w:lang w:bidi="he-IL"/>
              </w:rPr>
              <w:t>Abimelech</w:t>
            </w:r>
            <w:proofErr w:type="spellEnd"/>
            <w:r>
              <w:rPr>
                <w:lang w:bidi="he-IL"/>
              </w:rPr>
              <w:t xml:space="preserve"> etc.</w:t>
            </w:r>
          </w:p>
        </w:tc>
        <w:tc>
          <w:tcPr>
            <w:tcW w:w="4788" w:type="dxa"/>
          </w:tcPr>
          <w:p w:rsidR="00B344FB" w:rsidRDefault="00852FB4" w:rsidP="00B344FB">
            <w:pPr>
              <w:jc w:val="right"/>
              <w:rPr>
                <w:rFonts w:cs="Times New Roman" w:hint="cs"/>
                <w:rtl/>
                <w:lang w:bidi="he-IL"/>
              </w:rPr>
            </w:pPr>
            <w:r>
              <w:rPr>
                <w:rFonts w:cs="Times New Roman"/>
                <w:rtl/>
                <w:lang w:bidi="he-IL"/>
              </w:rPr>
              <w:t xml:space="preserve">מתני'. אע"פ שהוא נותן לו, אין נמחל לו עד </w:t>
            </w:r>
          </w:p>
          <w:p w:rsidR="00852FB4" w:rsidRDefault="00852FB4" w:rsidP="00B344FB">
            <w:pPr>
              <w:jc w:val="right"/>
              <w:rPr>
                <w:lang w:bidi="he-IL"/>
              </w:rPr>
            </w:pPr>
            <w:r>
              <w:rPr>
                <w:rFonts w:cs="Times New Roman"/>
                <w:rtl/>
                <w:lang w:bidi="he-IL"/>
              </w:rPr>
              <w:t>שיבקש ממנו</w:t>
            </w:r>
            <w:r w:rsidR="00B344FB">
              <w:rPr>
                <w:rFonts w:cs="Times New Roman" w:hint="cs"/>
                <w:rtl/>
                <w:lang w:bidi="he-IL"/>
              </w:rPr>
              <w:t>...</w:t>
            </w:r>
            <w:r>
              <w:rPr>
                <w:rFonts w:cs="Times New Roman"/>
                <w:rtl/>
                <w:lang w:bidi="he-IL"/>
              </w:rPr>
              <w:t xml:space="preserve">. ומנין שאם לא מחל לו שהוא אכזרי? שנאמר: בויתפלל אברהם אל האלהים וירפא אלהים את אבימלך וגו'. </w:t>
            </w:r>
          </w:p>
        </w:tc>
      </w:tr>
    </w:tbl>
    <w:p w:rsidR="00B344FB" w:rsidRPr="00B344FB" w:rsidRDefault="00B344FB" w:rsidP="00B344FB">
      <w:pPr>
        <w:pStyle w:val="ListParagraph"/>
        <w:ind w:firstLine="0"/>
        <w:rPr>
          <w:rFonts w:hint="cs"/>
          <w:b/>
          <w:bCs/>
          <w:sz w:val="12"/>
          <w:szCs w:val="12"/>
          <w:u w:val="single"/>
          <w:lang w:bidi="he-IL"/>
        </w:rPr>
      </w:pPr>
    </w:p>
    <w:p w:rsidR="005A163A" w:rsidRPr="00B344FB" w:rsidRDefault="005A163A" w:rsidP="005A163A">
      <w:pPr>
        <w:rPr>
          <w:b/>
          <w:bCs/>
          <w:sz w:val="12"/>
          <w:szCs w:val="12"/>
          <w:u w:val="single"/>
        </w:rPr>
      </w:pPr>
    </w:p>
    <w:p w:rsidR="00852FB4" w:rsidRPr="00852FB4" w:rsidRDefault="00852FB4" w:rsidP="00852FB4">
      <w:pPr>
        <w:pStyle w:val="ListParagraph"/>
        <w:numPr>
          <w:ilvl w:val="0"/>
          <w:numId w:val="1"/>
        </w:numPr>
        <w:rPr>
          <w:b/>
          <w:bCs/>
          <w:u w:val="single"/>
        </w:rPr>
      </w:pPr>
      <w:r>
        <w:rPr>
          <w:b/>
          <w:bCs/>
          <w:u w:val="single"/>
        </w:rPr>
        <w:t xml:space="preserve">Talmud </w:t>
      </w:r>
      <w:proofErr w:type="spellStart"/>
      <w:r>
        <w:rPr>
          <w:b/>
          <w:bCs/>
          <w:u w:val="single"/>
        </w:rPr>
        <w:t>Bavli</w:t>
      </w:r>
      <w:proofErr w:type="spellEnd"/>
      <w:r>
        <w:rPr>
          <w:b/>
          <w:bCs/>
          <w:u w:val="single"/>
        </w:rPr>
        <w:t xml:space="preserve">, Rosh </w:t>
      </w:r>
      <w:proofErr w:type="spellStart"/>
      <w:r>
        <w:rPr>
          <w:b/>
          <w:bCs/>
          <w:u w:val="single"/>
        </w:rPr>
        <w:t>Hashana</w:t>
      </w:r>
      <w:proofErr w:type="spellEnd"/>
      <w:r>
        <w:rPr>
          <w:b/>
          <w:bCs/>
          <w:u w:val="single"/>
        </w:rPr>
        <w:t xml:space="preserve"> 17a</w:t>
      </w:r>
    </w:p>
    <w:tbl>
      <w:tblPr>
        <w:tblStyle w:val="TableGrid"/>
        <w:tblW w:w="0" w:type="auto"/>
        <w:tblLook w:val="04A0" w:firstRow="1" w:lastRow="0" w:firstColumn="1" w:lastColumn="0" w:noHBand="0" w:noVBand="1"/>
      </w:tblPr>
      <w:tblGrid>
        <w:gridCol w:w="8838"/>
        <w:gridCol w:w="5778"/>
      </w:tblGrid>
      <w:tr w:rsidR="005A163A" w:rsidTr="00B344FB">
        <w:trPr>
          <w:trHeight w:val="872"/>
        </w:trPr>
        <w:tc>
          <w:tcPr>
            <w:tcW w:w="8838" w:type="dxa"/>
          </w:tcPr>
          <w:p w:rsidR="005A163A" w:rsidRDefault="005A163A" w:rsidP="00852FB4">
            <w:pPr>
              <w:ind w:firstLine="0"/>
              <w:rPr>
                <w:b/>
                <w:bCs/>
                <w:u w:val="single"/>
              </w:rPr>
            </w:pPr>
            <w:r w:rsidRPr="00852FB4">
              <w:t>Raba said: He who forgoes h</w:t>
            </w:r>
            <w:r w:rsidR="00852FB4">
              <w:t>is right [to exact punishment]</w:t>
            </w:r>
            <w:r w:rsidRPr="00852FB4">
              <w:t xml:space="preserve"> is forgiven all his iniquities, as it</w:t>
            </w:r>
            <w:r w:rsidR="00852FB4">
              <w:t xml:space="preserve"> </w:t>
            </w:r>
            <w:r w:rsidRPr="00852FB4">
              <w:t>says, Forgiving iniquity and passing by transgression. Who is forgiven iniquity? One who passes by</w:t>
            </w:r>
            <w:r w:rsidR="00852FB4">
              <w:t xml:space="preserve"> </w:t>
            </w:r>
            <w:r w:rsidRPr="00852FB4">
              <w:t>transgression [against himself]</w:t>
            </w:r>
            <w:proofErr w:type="gramStart"/>
            <w:r w:rsidRPr="00852FB4">
              <w:t>.</w:t>
            </w:r>
            <w:proofErr w:type="gramEnd"/>
          </w:p>
        </w:tc>
        <w:tc>
          <w:tcPr>
            <w:tcW w:w="5778" w:type="dxa"/>
          </w:tcPr>
          <w:p w:rsidR="005A163A" w:rsidRPr="00852FB4" w:rsidRDefault="005A163A" w:rsidP="00852FB4">
            <w:pPr>
              <w:ind w:firstLine="0"/>
              <w:jc w:val="right"/>
            </w:pPr>
            <w:r w:rsidRPr="00852FB4">
              <w:rPr>
                <w:rFonts w:cs="Times New Roman"/>
                <w:rtl/>
                <w:lang w:bidi="he-IL"/>
              </w:rPr>
              <w:t>אמר רבא]+: כל המעביר על מדותיו מעבירין לו על כל פשעיו, שנאמר נשא עון ועבר על פשע, למי נושא עון - למי שעובר על פשע</w:t>
            </w:r>
          </w:p>
        </w:tc>
      </w:tr>
    </w:tbl>
    <w:p w:rsidR="00852FB4" w:rsidRDefault="00852FB4" w:rsidP="005A163A">
      <w:pPr>
        <w:ind w:firstLine="0"/>
        <w:rPr>
          <w:b/>
          <w:bCs/>
          <w:u w:val="single"/>
        </w:rPr>
      </w:pPr>
    </w:p>
    <w:p w:rsidR="00852FB4" w:rsidRPr="00852FB4" w:rsidRDefault="00852FB4" w:rsidP="00852FB4">
      <w:pPr>
        <w:pStyle w:val="ListParagraph"/>
        <w:numPr>
          <w:ilvl w:val="0"/>
          <w:numId w:val="1"/>
        </w:numPr>
        <w:rPr>
          <w:b/>
          <w:bCs/>
          <w:u w:val="single"/>
        </w:rPr>
      </w:pPr>
      <w:r>
        <w:rPr>
          <w:b/>
          <w:bCs/>
          <w:u w:val="single"/>
        </w:rPr>
        <w:t xml:space="preserve">Talmud </w:t>
      </w:r>
      <w:proofErr w:type="spellStart"/>
      <w:r>
        <w:rPr>
          <w:b/>
          <w:bCs/>
          <w:u w:val="single"/>
        </w:rPr>
        <w:t>Bavli</w:t>
      </w:r>
      <w:proofErr w:type="spellEnd"/>
      <w:r>
        <w:rPr>
          <w:b/>
          <w:bCs/>
          <w:u w:val="single"/>
        </w:rPr>
        <w:t>, Shabbos 88b</w:t>
      </w:r>
    </w:p>
    <w:tbl>
      <w:tblPr>
        <w:tblStyle w:val="TableGrid"/>
        <w:tblW w:w="0" w:type="auto"/>
        <w:tblLook w:val="04A0" w:firstRow="1" w:lastRow="0" w:firstColumn="1" w:lastColumn="0" w:noHBand="0" w:noVBand="1"/>
      </w:tblPr>
      <w:tblGrid>
        <w:gridCol w:w="8658"/>
        <w:gridCol w:w="5958"/>
      </w:tblGrid>
      <w:tr w:rsidR="005A163A" w:rsidTr="00852FB4">
        <w:tc>
          <w:tcPr>
            <w:tcW w:w="8658" w:type="dxa"/>
          </w:tcPr>
          <w:p w:rsidR="005A163A" w:rsidRPr="00852FB4" w:rsidRDefault="005A163A" w:rsidP="005A163A">
            <w:pPr>
              <w:ind w:firstLine="0"/>
            </w:pPr>
            <w:r w:rsidRPr="00852FB4">
              <w:t xml:space="preserve">Our Rabbis taught: Those who are insulted but do not insult, hear themselves reviled without answering, act through love and rejoice in suffering, of them the Writ </w:t>
            </w:r>
            <w:proofErr w:type="spellStart"/>
            <w:r w:rsidRPr="00852FB4">
              <w:t>saith</w:t>
            </w:r>
            <w:proofErr w:type="spellEnd"/>
            <w:r w:rsidRPr="00852FB4">
              <w:t xml:space="preserve">, But they who love Him are as the sun when he </w:t>
            </w:r>
            <w:proofErr w:type="spellStart"/>
            <w:r w:rsidRPr="00852FB4">
              <w:t>goeth</w:t>
            </w:r>
            <w:proofErr w:type="spellEnd"/>
            <w:r w:rsidRPr="00852FB4">
              <w:t xml:space="preserve"> forth in his might.</w:t>
            </w:r>
          </w:p>
        </w:tc>
        <w:tc>
          <w:tcPr>
            <w:tcW w:w="5958" w:type="dxa"/>
          </w:tcPr>
          <w:p w:rsidR="005A163A" w:rsidRPr="00852FB4" w:rsidRDefault="005A163A" w:rsidP="00852FB4">
            <w:pPr>
              <w:ind w:firstLine="0"/>
              <w:jc w:val="right"/>
            </w:pPr>
            <w:r w:rsidRPr="00852FB4">
              <w:rPr>
                <w:rFonts w:cs="Times New Roman"/>
                <w:rtl/>
                <w:lang w:bidi="he-IL"/>
              </w:rPr>
              <w:t>תנו רבנן: עלובין ואינן עולבין, שומעין חרפתן ואינן משיבין, עושין מאהבה ושמחין ביסורין - עליהן הכתוב אומר הואהביו כצאת השמש בגברתו</w:t>
            </w:r>
          </w:p>
        </w:tc>
      </w:tr>
    </w:tbl>
    <w:p w:rsidR="00A91152" w:rsidRPr="00A91152" w:rsidRDefault="00A91152" w:rsidP="00A91152">
      <w:pPr>
        <w:ind w:firstLine="0"/>
        <w:rPr>
          <w:rFonts w:hint="cs"/>
          <w:b/>
          <w:bCs/>
          <w:u w:val="single"/>
          <w:lang w:bidi="he-IL"/>
        </w:rPr>
      </w:pPr>
    </w:p>
    <w:p w:rsidR="00B344FB" w:rsidRPr="00B344FB" w:rsidRDefault="00B344FB" w:rsidP="00B344FB">
      <w:pPr>
        <w:pStyle w:val="ListParagraph"/>
        <w:numPr>
          <w:ilvl w:val="0"/>
          <w:numId w:val="1"/>
        </w:numPr>
        <w:rPr>
          <w:b/>
          <w:bCs/>
          <w:u w:val="single"/>
          <w:lang w:bidi="he-IL"/>
        </w:rPr>
      </w:pPr>
      <w:r w:rsidRPr="00B344FB">
        <w:rPr>
          <w:b/>
          <w:bCs/>
          <w:u w:val="single"/>
          <w:lang w:bidi="he-IL"/>
        </w:rPr>
        <w:t xml:space="preserve">Talmud </w:t>
      </w:r>
      <w:proofErr w:type="spellStart"/>
      <w:r w:rsidRPr="00B344FB">
        <w:rPr>
          <w:b/>
          <w:bCs/>
          <w:u w:val="single"/>
          <w:lang w:bidi="he-IL"/>
        </w:rPr>
        <w:t>Bavli</w:t>
      </w:r>
      <w:proofErr w:type="spellEnd"/>
      <w:r w:rsidRPr="00B344FB">
        <w:rPr>
          <w:b/>
          <w:bCs/>
          <w:u w:val="single"/>
          <w:lang w:bidi="he-IL"/>
        </w:rPr>
        <w:t xml:space="preserve">, </w:t>
      </w:r>
      <w:proofErr w:type="spellStart"/>
      <w:r w:rsidRPr="00B344FB">
        <w:rPr>
          <w:b/>
          <w:bCs/>
          <w:u w:val="single"/>
          <w:lang w:bidi="he-IL"/>
        </w:rPr>
        <w:t>Yoma</w:t>
      </w:r>
      <w:proofErr w:type="spellEnd"/>
      <w:r w:rsidRPr="00B344FB">
        <w:rPr>
          <w:b/>
          <w:bCs/>
          <w:u w:val="single"/>
          <w:lang w:bidi="he-IL"/>
        </w:rPr>
        <w:t xml:space="preserve"> 85a</w:t>
      </w:r>
    </w:p>
    <w:tbl>
      <w:tblPr>
        <w:tblStyle w:val="TableGrid"/>
        <w:tblW w:w="0" w:type="auto"/>
        <w:tblLook w:val="04A0" w:firstRow="1" w:lastRow="0" w:firstColumn="1" w:lastColumn="0" w:noHBand="0" w:noVBand="1"/>
      </w:tblPr>
      <w:tblGrid>
        <w:gridCol w:w="9738"/>
        <w:gridCol w:w="4878"/>
      </w:tblGrid>
      <w:tr w:rsidR="00B344FB" w:rsidTr="009847D7">
        <w:tc>
          <w:tcPr>
            <w:tcW w:w="9738" w:type="dxa"/>
          </w:tcPr>
          <w:p w:rsidR="00B344FB" w:rsidRDefault="00B344FB" w:rsidP="009847D7">
            <w:pPr>
              <w:ind w:firstLine="0"/>
              <w:rPr>
                <w:lang w:bidi="he-IL"/>
              </w:rPr>
            </w:pPr>
            <w:r>
              <w:rPr>
                <w:lang w:bidi="he-IL"/>
              </w:rPr>
              <w:t xml:space="preserve">For transgressions as between man and the omnipresent the day of atonement procures atonement, but for transgressions as between man and his fellow the day of atonement does not procure any atonement, until he has pacified his fellow. This was expounded by R. </w:t>
            </w:r>
            <w:proofErr w:type="spellStart"/>
            <w:r>
              <w:rPr>
                <w:lang w:bidi="he-IL"/>
              </w:rPr>
              <w:t>Eleazar</w:t>
            </w:r>
            <w:proofErr w:type="spellEnd"/>
            <w:r>
              <w:rPr>
                <w:lang w:bidi="he-IL"/>
              </w:rPr>
              <w:t xml:space="preserve"> b. </w:t>
            </w:r>
            <w:proofErr w:type="spellStart"/>
            <w:r>
              <w:rPr>
                <w:lang w:bidi="he-IL"/>
              </w:rPr>
              <w:t>Azariah</w:t>
            </w:r>
            <w:proofErr w:type="spellEnd"/>
            <w:r>
              <w:rPr>
                <w:lang w:bidi="he-IL"/>
              </w:rPr>
              <w:t xml:space="preserve">: from all your sins before the lord shall ye be clean, i.e., for transgressions as between man and the omnipresent the day of atonement procures atonement, but for transgressions as between man and his fellow the day of atonement does not procure atonement until he has pacified his fellow. </w:t>
            </w:r>
          </w:p>
        </w:tc>
        <w:tc>
          <w:tcPr>
            <w:tcW w:w="4878" w:type="dxa"/>
          </w:tcPr>
          <w:p w:rsidR="00B344FB" w:rsidRDefault="00B344FB" w:rsidP="009847D7">
            <w:pPr>
              <w:jc w:val="right"/>
              <w:rPr>
                <w:lang w:bidi="he-IL"/>
              </w:rPr>
            </w:pPr>
            <w:r>
              <w:rPr>
                <w:lang w:bidi="he-IL"/>
              </w:rPr>
              <w:t xml:space="preserve">  </w:t>
            </w:r>
            <w:r>
              <w:rPr>
                <w:rFonts w:cs="Times New Roman"/>
                <w:rtl/>
                <w:lang w:bidi="he-IL"/>
              </w:rPr>
              <w:t>עבירות שבין אדם למקום - יום הכפורים מכפר, עבירות שבין אדם לחבירו - אין יום הכפורים מכפר, עד שירצה את חבירו. דרש רבי אלעזר בן עזריה: המכל חטאתיכם לפני ה' תטהרו עבירות שבין אדם למקום - יום הכפורים מכפר, עבירות שבין אדם לחבירו - אין יום הכפורים מכפר, עד שירצה את חבירו.</w:t>
            </w:r>
          </w:p>
        </w:tc>
      </w:tr>
    </w:tbl>
    <w:p w:rsidR="00B344FB" w:rsidRPr="00A91152" w:rsidRDefault="00B344FB" w:rsidP="005A163A">
      <w:pPr>
        <w:ind w:firstLine="0"/>
        <w:rPr>
          <w:rFonts w:hint="cs"/>
          <w:b/>
          <w:bCs/>
          <w:sz w:val="6"/>
          <w:szCs w:val="6"/>
          <w:u w:val="single"/>
          <w:lang w:bidi="he-IL"/>
        </w:rPr>
      </w:pPr>
    </w:p>
    <w:p w:rsidR="00852FB4" w:rsidRPr="00852FB4" w:rsidRDefault="00852FB4" w:rsidP="00B344FB">
      <w:pPr>
        <w:pStyle w:val="ListParagraph"/>
        <w:numPr>
          <w:ilvl w:val="0"/>
          <w:numId w:val="1"/>
        </w:numPr>
        <w:rPr>
          <w:b/>
          <w:bCs/>
          <w:u w:val="single"/>
        </w:rPr>
      </w:pPr>
      <w:r>
        <w:rPr>
          <w:b/>
          <w:bCs/>
          <w:u w:val="single"/>
        </w:rPr>
        <w:t xml:space="preserve">Midrash </w:t>
      </w:r>
      <w:proofErr w:type="spellStart"/>
      <w:r>
        <w:rPr>
          <w:b/>
          <w:bCs/>
          <w:u w:val="single"/>
        </w:rPr>
        <w:t>Tanchuman</w:t>
      </w:r>
      <w:proofErr w:type="spellEnd"/>
      <w:r>
        <w:rPr>
          <w:b/>
          <w:bCs/>
          <w:u w:val="single"/>
        </w:rPr>
        <w:t xml:space="preserve">, </w:t>
      </w:r>
      <w:proofErr w:type="spellStart"/>
      <w:r>
        <w:rPr>
          <w:b/>
          <w:bCs/>
          <w:u w:val="single"/>
        </w:rPr>
        <w:t>Tzav</w:t>
      </w:r>
      <w:proofErr w:type="spellEnd"/>
      <w:r>
        <w:rPr>
          <w:b/>
          <w:bCs/>
          <w:u w:val="single"/>
        </w:rPr>
        <w:t xml:space="preserve"> 7</w:t>
      </w:r>
    </w:p>
    <w:p w:rsidR="00852FB4" w:rsidRDefault="00852FB4" w:rsidP="00852FB4">
      <w:pPr>
        <w:jc w:val="right"/>
        <w:rPr>
          <w:rFonts w:cs="Times New Roman" w:hint="cs"/>
          <w:rtl/>
          <w:lang w:bidi="he-IL"/>
        </w:rPr>
      </w:pPr>
      <w:r w:rsidRPr="00FD6AF8">
        <w:rPr>
          <w:rFonts w:cs="Times New Roman"/>
          <w:rtl/>
          <w:lang w:bidi="he-IL"/>
        </w:rPr>
        <w:t>אר"א הקפר גדול השלום שאפילו ישראל עצמן עושין ע"ג ועושין חבורה אחת אין מדת הדין נוגעת בהן</w:t>
      </w:r>
      <w:r w:rsidRPr="00FD6AF8">
        <w:rPr>
          <w:rFonts w:cs="Times New Roman"/>
          <w:lang w:bidi="he-IL"/>
        </w:rPr>
        <w:t xml:space="preserve"> </w:t>
      </w:r>
    </w:p>
    <w:p w:rsidR="00A91152" w:rsidRPr="00FD6AF8" w:rsidRDefault="00A91152" w:rsidP="00852FB4">
      <w:pPr>
        <w:jc w:val="right"/>
        <w:rPr>
          <w:rFonts w:cs="Times New Roman"/>
          <w:lang w:bidi="he-IL"/>
        </w:rPr>
      </w:pPr>
    </w:p>
    <w:p w:rsidR="00852FB4" w:rsidRPr="00A91152" w:rsidRDefault="00852FB4" w:rsidP="00852FB4">
      <w:pPr>
        <w:jc w:val="right"/>
        <w:rPr>
          <w:sz w:val="2"/>
          <w:szCs w:val="2"/>
          <w:lang w:bidi="he-IL"/>
        </w:rPr>
      </w:pPr>
    </w:p>
    <w:p w:rsidR="00852FB4" w:rsidRPr="00852FB4" w:rsidRDefault="00852FB4" w:rsidP="00B344FB">
      <w:pPr>
        <w:pStyle w:val="ListParagraph"/>
        <w:numPr>
          <w:ilvl w:val="0"/>
          <w:numId w:val="1"/>
        </w:numPr>
        <w:rPr>
          <w:b/>
          <w:bCs/>
          <w:u w:val="single"/>
          <w:lang w:bidi="he-IL"/>
        </w:rPr>
      </w:pPr>
      <w:proofErr w:type="spellStart"/>
      <w:r w:rsidRPr="00852FB4">
        <w:rPr>
          <w:b/>
          <w:bCs/>
          <w:u w:val="single"/>
          <w:lang w:bidi="he-IL"/>
        </w:rPr>
        <w:t>Pirkei</w:t>
      </w:r>
      <w:proofErr w:type="spellEnd"/>
      <w:r w:rsidRPr="00852FB4">
        <w:rPr>
          <w:b/>
          <w:bCs/>
          <w:u w:val="single"/>
          <w:lang w:bidi="he-IL"/>
        </w:rPr>
        <w:t xml:space="preserve"> </w:t>
      </w:r>
      <w:proofErr w:type="spellStart"/>
      <w:r w:rsidRPr="00852FB4">
        <w:rPr>
          <w:b/>
          <w:bCs/>
          <w:u w:val="single"/>
          <w:lang w:bidi="he-IL"/>
        </w:rPr>
        <w:t>Derebi</w:t>
      </w:r>
      <w:proofErr w:type="spellEnd"/>
      <w:r w:rsidRPr="00852FB4">
        <w:rPr>
          <w:b/>
          <w:bCs/>
          <w:u w:val="single"/>
          <w:lang w:bidi="he-IL"/>
        </w:rPr>
        <w:t xml:space="preserve"> </w:t>
      </w:r>
      <w:proofErr w:type="spellStart"/>
      <w:r w:rsidRPr="00852FB4">
        <w:rPr>
          <w:b/>
          <w:bCs/>
          <w:u w:val="single"/>
          <w:lang w:bidi="he-IL"/>
        </w:rPr>
        <w:t>Eliezer</w:t>
      </w:r>
      <w:proofErr w:type="spellEnd"/>
      <w:r w:rsidRPr="00852FB4">
        <w:rPr>
          <w:b/>
          <w:bCs/>
          <w:u w:val="single"/>
          <w:lang w:bidi="he-IL"/>
        </w:rPr>
        <w:t>, 45</w:t>
      </w:r>
    </w:p>
    <w:p w:rsidR="00852FB4" w:rsidRDefault="00852FB4" w:rsidP="00A91152">
      <w:pPr>
        <w:jc w:val="right"/>
        <w:rPr>
          <w:rFonts w:hint="cs"/>
          <w:rtl/>
          <w:lang w:bidi="he-IL"/>
        </w:rPr>
      </w:pPr>
      <w:r>
        <w:rPr>
          <w:rFonts w:cs="Times New Roman"/>
          <w:rtl/>
          <w:lang w:bidi="he-IL"/>
        </w:rPr>
        <w:t>ראה סמאל שלא נמצא בהם ביום הכפורים חטא אמ' לפניו רבון כל העולמים יש לך עם אחד כמלאכי השרת שבשמים מה מלאכי ישראל אין בהם אכילה ושתיה כך ישראל אין להם אכילה ושתיה ביום הכפורים, מה מלאכי השרת שלו"ם ביניה"ם יחפי רגל ביום הכפורים כך ישראל יחפי רגל ביום הכפורים, מה מלאכי השרת אין להם קפיצה כך ישראל עומדים על רגליהם ביום הכפורים, מה מלאכי השרת שלום ביניהם כך ישראל שלום ביניהם ביום הכפורים, מה מלאכי השרת נקיים מכל חטא כך ישראל נקיים מכל חטא ביום הכפורים</w:t>
      </w:r>
      <w:r>
        <w:rPr>
          <w:lang w:bidi="he-IL"/>
        </w:rPr>
        <w:t xml:space="preserve"> </w:t>
      </w:r>
    </w:p>
    <w:p w:rsidR="00A91152" w:rsidRDefault="00A91152" w:rsidP="00A91152">
      <w:pPr>
        <w:jc w:val="right"/>
        <w:rPr>
          <w:rFonts w:hint="cs"/>
          <w:rtl/>
          <w:lang w:bidi="he-IL"/>
        </w:rPr>
      </w:pPr>
    </w:p>
    <w:p w:rsidR="00A91152" w:rsidRPr="00A91152" w:rsidRDefault="00A91152" w:rsidP="00A91152">
      <w:pPr>
        <w:jc w:val="right"/>
        <w:rPr>
          <w:sz w:val="4"/>
          <w:szCs w:val="4"/>
          <w:lang w:bidi="he-IL"/>
        </w:rPr>
      </w:pPr>
    </w:p>
    <w:p w:rsidR="005A163A" w:rsidRPr="00A91152" w:rsidRDefault="005A163A" w:rsidP="005A163A">
      <w:pPr>
        <w:ind w:firstLine="0"/>
        <w:rPr>
          <w:b/>
          <w:bCs/>
          <w:sz w:val="2"/>
          <w:szCs w:val="2"/>
          <w:u w:val="single"/>
        </w:rPr>
      </w:pPr>
    </w:p>
    <w:p w:rsidR="00F90E2E" w:rsidRDefault="00B344FB" w:rsidP="00B344FB">
      <w:pPr>
        <w:ind w:firstLine="0"/>
        <w:rPr>
          <w:rFonts w:hint="cs"/>
          <w:b/>
          <w:bCs/>
          <w:u w:val="single"/>
          <w:rtl/>
          <w:lang w:bidi="he-IL"/>
        </w:rPr>
      </w:pPr>
      <w:r>
        <w:rPr>
          <w:b/>
          <w:bCs/>
          <w:u w:val="single"/>
        </w:rPr>
        <w:t>Conclusion</w:t>
      </w:r>
      <w:r w:rsidR="005A163A">
        <w:rPr>
          <w:b/>
          <w:bCs/>
          <w:u w:val="single"/>
        </w:rPr>
        <w:t xml:space="preserve"> – Working on Forgiving </w:t>
      </w:r>
    </w:p>
    <w:p w:rsidR="00A91152" w:rsidRDefault="00A91152" w:rsidP="00B344FB">
      <w:pPr>
        <w:ind w:firstLine="0"/>
        <w:rPr>
          <w:b/>
          <w:bCs/>
          <w:sz w:val="16"/>
          <w:szCs w:val="16"/>
          <w:u w:val="single"/>
          <w:lang w:bidi="he-IL"/>
        </w:rPr>
      </w:pPr>
    </w:p>
    <w:p w:rsidR="00453129" w:rsidRPr="00A91152" w:rsidRDefault="00453129" w:rsidP="00453129">
      <w:pPr>
        <w:pStyle w:val="ListParagraph"/>
        <w:numPr>
          <w:ilvl w:val="0"/>
          <w:numId w:val="7"/>
        </w:numPr>
        <w:rPr>
          <w:b/>
          <w:bCs/>
          <w:u w:val="single"/>
          <w:lang w:bidi="he-IL"/>
        </w:rPr>
      </w:pPr>
      <w:r>
        <w:rPr>
          <w:b/>
          <w:bCs/>
          <w:u w:val="single"/>
          <w:lang w:bidi="he-IL"/>
        </w:rPr>
        <w:t xml:space="preserve">Everett Worthington </w:t>
      </w:r>
      <w:r>
        <w:rPr>
          <w:lang w:bidi="he-IL"/>
        </w:rPr>
        <w:t xml:space="preserve"> - Pyramid Model of Forgiveness (Empathy-Humility-Commitment Model), REACH</w:t>
      </w:r>
    </w:p>
    <w:p w:rsidR="00453129" w:rsidRPr="00A91152" w:rsidRDefault="00453129" w:rsidP="00B344FB">
      <w:pPr>
        <w:ind w:firstLine="0"/>
        <w:rPr>
          <w:rFonts w:hint="cs"/>
          <w:b/>
          <w:bCs/>
          <w:sz w:val="16"/>
          <w:szCs w:val="16"/>
          <w:u w:val="single"/>
          <w:lang w:bidi="he-IL"/>
        </w:rPr>
      </w:pPr>
    </w:p>
    <w:p w:rsidR="00A70733" w:rsidRPr="00A70733" w:rsidRDefault="00A70733" w:rsidP="00453129">
      <w:pPr>
        <w:pStyle w:val="ListParagraph"/>
        <w:numPr>
          <w:ilvl w:val="0"/>
          <w:numId w:val="7"/>
        </w:numPr>
        <w:rPr>
          <w:b/>
          <w:bCs/>
          <w:u w:val="single"/>
          <w:lang w:bidi="he-IL"/>
        </w:rPr>
      </w:pPr>
      <w:proofErr w:type="spellStart"/>
      <w:r w:rsidRPr="00A70733">
        <w:rPr>
          <w:b/>
          <w:bCs/>
          <w:u w:val="single"/>
          <w:lang w:bidi="he-IL"/>
        </w:rPr>
        <w:t>Rambam</w:t>
      </w:r>
      <w:proofErr w:type="spellEnd"/>
      <w:r w:rsidRPr="00A70733">
        <w:rPr>
          <w:b/>
          <w:bCs/>
          <w:u w:val="single"/>
          <w:lang w:bidi="he-IL"/>
        </w:rPr>
        <w:t xml:space="preserve">, </w:t>
      </w:r>
      <w:proofErr w:type="spellStart"/>
      <w:r w:rsidRPr="00A70733">
        <w:rPr>
          <w:b/>
          <w:bCs/>
          <w:u w:val="single"/>
          <w:lang w:bidi="he-IL"/>
        </w:rPr>
        <w:t>Mishna</w:t>
      </w:r>
      <w:proofErr w:type="spellEnd"/>
      <w:r w:rsidRPr="00A70733">
        <w:rPr>
          <w:b/>
          <w:bCs/>
          <w:u w:val="single"/>
          <w:lang w:bidi="he-IL"/>
        </w:rPr>
        <w:t xml:space="preserve"> Torah, </w:t>
      </w:r>
      <w:proofErr w:type="spellStart"/>
      <w:r w:rsidRPr="00A70733">
        <w:rPr>
          <w:b/>
          <w:bCs/>
          <w:u w:val="single"/>
          <w:lang w:bidi="he-IL"/>
        </w:rPr>
        <w:t>Hilchot</w:t>
      </w:r>
      <w:proofErr w:type="spellEnd"/>
      <w:r w:rsidRPr="00A70733">
        <w:rPr>
          <w:b/>
          <w:bCs/>
          <w:u w:val="single"/>
          <w:lang w:bidi="he-IL"/>
        </w:rPr>
        <w:t xml:space="preserve"> </w:t>
      </w:r>
      <w:proofErr w:type="spellStart"/>
      <w:r w:rsidRPr="00A70733">
        <w:rPr>
          <w:b/>
          <w:bCs/>
          <w:u w:val="single"/>
          <w:lang w:bidi="he-IL"/>
        </w:rPr>
        <w:t>Deiot</w:t>
      </w:r>
      <w:proofErr w:type="spellEnd"/>
      <w:r w:rsidRPr="00A70733">
        <w:rPr>
          <w:b/>
          <w:bCs/>
          <w:u w:val="single"/>
          <w:lang w:bidi="he-IL"/>
        </w:rPr>
        <w:t>, 7:7 and 8 (</w:t>
      </w:r>
      <w:proofErr w:type="spellStart"/>
      <w:r w:rsidRPr="00A70733">
        <w:rPr>
          <w:b/>
          <w:bCs/>
          <w:u w:val="single"/>
          <w:lang w:bidi="he-IL"/>
        </w:rPr>
        <w:t>Mo</w:t>
      </w:r>
      <w:r w:rsidR="00ED04CE">
        <w:rPr>
          <w:b/>
          <w:bCs/>
          <w:u w:val="single"/>
          <w:lang w:bidi="he-IL"/>
        </w:rPr>
        <w:t>a</w:t>
      </w:r>
      <w:bookmarkStart w:id="0" w:name="_GoBack"/>
      <w:bookmarkEnd w:id="0"/>
      <w:r w:rsidRPr="00A70733">
        <w:rPr>
          <w:b/>
          <w:bCs/>
          <w:u w:val="single"/>
          <w:lang w:bidi="he-IL"/>
        </w:rPr>
        <w:t>znaim</w:t>
      </w:r>
      <w:proofErr w:type="spellEnd"/>
      <w:r w:rsidRPr="00A70733">
        <w:rPr>
          <w:b/>
          <w:bCs/>
          <w:u w:val="single"/>
          <w:lang w:bidi="he-IL"/>
        </w:rPr>
        <w:t xml:space="preserve"> Translation)</w:t>
      </w:r>
    </w:p>
    <w:tbl>
      <w:tblPr>
        <w:tblStyle w:val="TableGrid"/>
        <w:tblW w:w="0" w:type="auto"/>
        <w:tblLook w:val="04A0" w:firstRow="1" w:lastRow="0" w:firstColumn="1" w:lastColumn="0" w:noHBand="0" w:noVBand="1"/>
      </w:tblPr>
      <w:tblGrid>
        <w:gridCol w:w="9558"/>
        <w:gridCol w:w="5058"/>
      </w:tblGrid>
      <w:tr w:rsidR="00A70733" w:rsidRPr="00061F9E" w:rsidTr="00A70733">
        <w:tc>
          <w:tcPr>
            <w:tcW w:w="9558" w:type="dxa"/>
          </w:tcPr>
          <w:p w:rsidR="00A70733" w:rsidRDefault="00A70733" w:rsidP="009847D7">
            <w:pPr>
              <w:ind w:firstLine="0"/>
              <w:rPr>
                <w:noProof/>
                <w:lang w:bidi="he-IL"/>
              </w:rPr>
            </w:pPr>
            <w:r>
              <w:rPr>
                <w:noProof/>
                <w:lang w:bidi="he-IL"/>
              </w:rPr>
              <w:t>7) A person who takes revenge against a colleague transgresses a Torah prohibition, as [Leviticus 19:18] states: “Do not take revenge.”.  Even though [revenge] is not punished by lashes, it is a very bad trait.  Instead, a person should [train himself] to rise above his feelings about all worldy things, for men of understanding consider all these things as vanity and emptiness which are not worth seeking revenge for…</w:t>
            </w:r>
          </w:p>
          <w:p w:rsidR="00A70733" w:rsidRPr="00061F9E" w:rsidRDefault="00A70733" w:rsidP="009847D7">
            <w:pPr>
              <w:ind w:firstLine="0"/>
              <w:rPr>
                <w:b/>
                <w:bCs/>
                <w:lang w:bidi="he-IL"/>
              </w:rPr>
            </w:pPr>
            <w:r>
              <w:rPr>
                <w:noProof/>
                <w:lang w:bidi="he-IL"/>
              </w:rPr>
              <w:t>8) Similarly, anyone who holds a grudge against another Jew violates a Torah prohibition, as [Leviticus 19:18] states: “Do not bear a grudge against the children of your people”… A person who acts in this manner violates the prohibition against bearing a grudge.  Intead [of doing do], he should wipe the matter from his heart and never bring it to mind.  As long as he brings the matter to mind and remembers it, there is the possibility that he will seek revenge… This is a proper quality which permits a stable enviornment, trade, and commerce to be established among people.</w:t>
            </w:r>
          </w:p>
        </w:tc>
        <w:tc>
          <w:tcPr>
            <w:tcW w:w="5058" w:type="dxa"/>
          </w:tcPr>
          <w:p w:rsidR="00A70733" w:rsidRDefault="00A70733" w:rsidP="009847D7">
            <w:pPr>
              <w:jc w:val="right"/>
              <w:rPr>
                <w:rFonts w:cs="Times New Roman" w:hint="cs"/>
                <w:rtl/>
                <w:lang w:bidi="he-IL"/>
              </w:rPr>
            </w:pPr>
            <w:r>
              <w:rPr>
                <w:rFonts w:cs="Times New Roman" w:hint="cs"/>
                <w:rtl/>
                <w:lang w:bidi="he-IL"/>
              </w:rPr>
              <w:t xml:space="preserve">ז) </w:t>
            </w:r>
            <w:r w:rsidRPr="00A95CE0">
              <w:rPr>
                <w:rFonts w:cs="Times New Roman"/>
                <w:rtl/>
                <w:lang w:bidi="he-IL"/>
              </w:rPr>
              <w:t>הנוקם מחבירו עובר בלא תעשה שנאמר לא תקום, ואע"פ שאינו לוקה עליו דעה רעה היא עד מאד, אלא ראוי לו לאדם להיות מעביר על מדותיו על כל דברי העולם שהכל אצל המבינים דברי הבל והבאי ואינן כדי לנקום עליהם</w:t>
            </w:r>
            <w:r>
              <w:rPr>
                <w:rFonts w:cs="Times New Roman" w:hint="cs"/>
                <w:rtl/>
                <w:lang w:bidi="he-IL"/>
              </w:rPr>
              <w:t>...</w:t>
            </w:r>
          </w:p>
          <w:p w:rsidR="00A70733" w:rsidRPr="00061F9E" w:rsidRDefault="00A70733" w:rsidP="00A70733">
            <w:pPr>
              <w:jc w:val="right"/>
              <w:rPr>
                <w:rFonts w:hint="cs"/>
                <w:b/>
                <w:bCs/>
                <w:rtl/>
                <w:lang w:bidi="he-IL"/>
              </w:rPr>
            </w:pPr>
            <w:r>
              <w:rPr>
                <w:rFonts w:cs="Times New Roman" w:hint="cs"/>
                <w:rtl/>
                <w:lang w:bidi="he-IL"/>
              </w:rPr>
              <w:t xml:space="preserve">ח) </w:t>
            </w:r>
            <w:r>
              <w:rPr>
                <w:rFonts w:cs="Times New Roman"/>
                <w:rtl/>
                <w:lang w:bidi="he-IL"/>
              </w:rPr>
              <w:t>וכן כל הנוטר לאחד מישראל עובר בלא תעשה שנאמר ולא תטור את בני עמיך</w:t>
            </w:r>
            <w:r>
              <w:rPr>
                <w:rFonts w:cs="Times New Roman" w:hint="cs"/>
                <w:rtl/>
                <w:lang w:bidi="he-IL"/>
              </w:rPr>
              <w:t>...</w:t>
            </w:r>
            <w:r>
              <w:rPr>
                <w:rFonts w:cs="Times New Roman"/>
                <w:rtl/>
                <w:lang w:bidi="he-IL"/>
              </w:rPr>
              <w:t xml:space="preserve"> העושה כזה עובר בלא תטור, אלא ימחה הדבר מלבו ולא יטרנו, שכל זמן שהוא נוטר את הדבר וזוכרו שמא יבא לנקום, לפיכך הקפידה תורה על הנטירה עד שימחה העון מלבו ולא יזכרנו כלל, וזו היא הדעה הנכונה שאפשר שיתקיים בה יישוב הארץ ומשאם ומתנם של בני אדם זה עם זה</w:t>
            </w:r>
          </w:p>
        </w:tc>
      </w:tr>
    </w:tbl>
    <w:p w:rsidR="00A91152" w:rsidRPr="00A91152" w:rsidRDefault="00A91152" w:rsidP="00A91152">
      <w:pPr>
        <w:pStyle w:val="ListParagraph"/>
        <w:ind w:firstLine="0"/>
        <w:rPr>
          <w:rFonts w:hint="cs"/>
          <w:b/>
          <w:bCs/>
          <w:sz w:val="14"/>
          <w:szCs w:val="14"/>
          <w:u w:val="single"/>
          <w:lang w:bidi="he-IL"/>
        </w:rPr>
      </w:pPr>
    </w:p>
    <w:p w:rsidR="00A70733" w:rsidRDefault="00A70733" w:rsidP="00453129">
      <w:pPr>
        <w:pStyle w:val="ListParagraph"/>
        <w:numPr>
          <w:ilvl w:val="0"/>
          <w:numId w:val="7"/>
        </w:numPr>
        <w:rPr>
          <w:b/>
          <w:bCs/>
          <w:u w:val="single"/>
          <w:lang w:bidi="he-IL"/>
        </w:rPr>
      </w:pPr>
      <w:proofErr w:type="spellStart"/>
      <w:r>
        <w:rPr>
          <w:b/>
          <w:bCs/>
          <w:u w:val="single"/>
          <w:lang w:bidi="he-IL"/>
        </w:rPr>
        <w:t>Sefer</w:t>
      </w:r>
      <w:proofErr w:type="spellEnd"/>
      <w:r>
        <w:rPr>
          <w:b/>
          <w:bCs/>
          <w:u w:val="single"/>
          <w:lang w:bidi="he-IL"/>
        </w:rPr>
        <w:t xml:space="preserve"> </w:t>
      </w:r>
      <w:proofErr w:type="spellStart"/>
      <w:r>
        <w:rPr>
          <w:b/>
          <w:bCs/>
          <w:u w:val="single"/>
          <w:lang w:bidi="he-IL"/>
        </w:rPr>
        <w:t>Hachinuch</w:t>
      </w:r>
      <w:proofErr w:type="spellEnd"/>
      <w:r>
        <w:rPr>
          <w:b/>
          <w:bCs/>
          <w:u w:val="single"/>
          <w:lang w:bidi="he-IL"/>
        </w:rPr>
        <w:t>, Mitzvah 241 - Prohibition against taking revenge (</w:t>
      </w:r>
      <w:proofErr w:type="spellStart"/>
      <w:r>
        <w:rPr>
          <w:b/>
          <w:bCs/>
          <w:u w:val="single"/>
          <w:lang w:bidi="he-IL"/>
        </w:rPr>
        <w:t>Feldheim</w:t>
      </w:r>
      <w:proofErr w:type="spellEnd"/>
      <w:r>
        <w:rPr>
          <w:b/>
          <w:bCs/>
          <w:u w:val="single"/>
          <w:lang w:bidi="he-IL"/>
        </w:rPr>
        <w:t xml:space="preserve"> Translation)</w:t>
      </w:r>
    </w:p>
    <w:tbl>
      <w:tblPr>
        <w:tblStyle w:val="TableGrid"/>
        <w:tblW w:w="0" w:type="auto"/>
        <w:tblLook w:val="04A0" w:firstRow="1" w:lastRow="0" w:firstColumn="1" w:lastColumn="0" w:noHBand="0" w:noVBand="1"/>
      </w:tblPr>
      <w:tblGrid>
        <w:gridCol w:w="9198"/>
        <w:gridCol w:w="5418"/>
      </w:tblGrid>
      <w:tr w:rsidR="00A70733" w:rsidTr="00A70733">
        <w:tc>
          <w:tcPr>
            <w:tcW w:w="9198" w:type="dxa"/>
          </w:tcPr>
          <w:p w:rsidR="00A70733" w:rsidRPr="00A70733" w:rsidRDefault="00A70733" w:rsidP="00A70733">
            <w:pPr>
              <w:ind w:firstLine="0"/>
              <w:rPr>
                <w:lang w:bidi="he-IL"/>
              </w:rPr>
            </w:pPr>
            <w:r>
              <w:rPr>
                <w:lang w:bidi="he-IL"/>
              </w:rPr>
              <w:t xml:space="preserve">At the root of the precept lies the purpose that a man should know and reflect that whatever happens to him, good or bad, is caused by the Eternal Lord, blessed is He, to occur to him; from a human hand, a man’s brother’s hand, nothing can be without the will of the Eternal Lord, blessed is He.  Therefore, should a man inflict suffering or pin on him, let him know in this soul that his bad deeds were the cause, and the Eternal Lord decreed this upon him: and let him not set his thoughts to take revenge from him.  </w:t>
            </w:r>
          </w:p>
        </w:tc>
        <w:tc>
          <w:tcPr>
            <w:tcW w:w="5418" w:type="dxa"/>
          </w:tcPr>
          <w:p w:rsidR="00A70733" w:rsidRDefault="00A70733" w:rsidP="00A70733">
            <w:pPr>
              <w:jc w:val="right"/>
              <w:rPr>
                <w:rFonts w:hint="cs"/>
                <w:lang w:bidi="he-IL"/>
              </w:rPr>
            </w:pPr>
            <w:r>
              <w:rPr>
                <w:lang w:bidi="he-IL"/>
              </w:rPr>
              <w:t xml:space="preserve">  </w:t>
            </w:r>
            <w:r>
              <w:rPr>
                <w:rFonts w:cs="Times New Roman"/>
                <w:rtl/>
                <w:lang w:bidi="he-IL"/>
              </w:rPr>
              <w:t>משרשי המצוה, שידע האדם ויתן אל לבו כי כל אשר יקרהו מטוב עד רע, הוא סיבה שתבוא עליו מאת השם ברוך הוא, ומיד האדם מיד איש אחיו לא יהיה דבר בלתי רצון השם ברוך הוא, על כן כשיצערהו או יכאיבהו אדם ידע בנפשו כי עוונותיו גרמו והשם יתברך גזר על</w:t>
            </w:r>
            <w:r>
              <w:rPr>
                <w:rFonts w:cs="Times New Roman"/>
                <w:rtl/>
                <w:lang w:bidi="he-IL"/>
              </w:rPr>
              <w:t>יו בכך, ולא ישית מחשבותיו לנקום</w:t>
            </w:r>
            <w:r>
              <w:rPr>
                <w:rFonts w:cs="Times New Roman" w:hint="cs"/>
                <w:rtl/>
                <w:lang w:bidi="he-IL"/>
              </w:rPr>
              <w:t>...</w:t>
            </w:r>
          </w:p>
          <w:p w:rsidR="00A70733" w:rsidRDefault="00A70733" w:rsidP="00A70733">
            <w:pPr>
              <w:ind w:firstLine="0"/>
              <w:rPr>
                <w:b/>
                <w:bCs/>
                <w:u w:val="single"/>
                <w:lang w:bidi="he-IL"/>
              </w:rPr>
            </w:pPr>
          </w:p>
        </w:tc>
      </w:tr>
    </w:tbl>
    <w:p w:rsidR="00A70733" w:rsidRPr="00A91152" w:rsidRDefault="00A70733" w:rsidP="00A91152">
      <w:pPr>
        <w:rPr>
          <w:b/>
          <w:bCs/>
          <w:sz w:val="18"/>
          <w:szCs w:val="18"/>
          <w:u w:val="single"/>
          <w:lang w:bidi="he-IL"/>
        </w:rPr>
      </w:pPr>
    </w:p>
    <w:sectPr w:rsidR="00A70733" w:rsidRPr="00A91152" w:rsidSect="00A95CE0">
      <w:headerReference w:type="default" r:id="rId15"/>
      <w:footerReference w:type="default" r:id="rId16"/>
      <w:headerReference w:type="first" r:id="rId17"/>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204" w:rsidRDefault="00F91204" w:rsidP="007A188A">
      <w:r>
        <w:separator/>
      </w:r>
    </w:p>
  </w:endnote>
  <w:endnote w:type="continuationSeparator" w:id="0">
    <w:p w:rsidR="00F91204" w:rsidRDefault="00F91204" w:rsidP="007A1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Arial">
    <w:altName w:val="Times New Roman"/>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32184"/>
      <w:docPartObj>
        <w:docPartGallery w:val="Page Numbers (Bottom of Page)"/>
        <w:docPartUnique/>
      </w:docPartObj>
    </w:sdtPr>
    <w:sdtEndPr>
      <w:rPr>
        <w:noProof/>
      </w:rPr>
    </w:sdtEndPr>
    <w:sdtContent>
      <w:p w:rsidR="007A188A" w:rsidRDefault="007A188A">
        <w:pPr>
          <w:pStyle w:val="Footer"/>
          <w:jc w:val="right"/>
        </w:pPr>
        <w:r>
          <w:fldChar w:fldCharType="begin"/>
        </w:r>
        <w:r>
          <w:instrText xml:space="preserve"> PAGE   \* MERGEFORMAT </w:instrText>
        </w:r>
        <w:r>
          <w:fldChar w:fldCharType="separate"/>
        </w:r>
        <w:r w:rsidR="00ED04CE">
          <w:rPr>
            <w:noProof/>
          </w:rPr>
          <w:t>2</w:t>
        </w:r>
        <w:r>
          <w:rPr>
            <w:noProof/>
          </w:rPr>
          <w:fldChar w:fldCharType="end"/>
        </w:r>
      </w:p>
    </w:sdtContent>
  </w:sdt>
  <w:p w:rsidR="007A188A" w:rsidRDefault="007A18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204" w:rsidRDefault="00F91204" w:rsidP="007A188A">
      <w:r>
        <w:separator/>
      </w:r>
    </w:p>
  </w:footnote>
  <w:footnote w:type="continuationSeparator" w:id="0">
    <w:p w:rsidR="00F91204" w:rsidRDefault="00F91204" w:rsidP="007A18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88A" w:rsidRPr="007A188A" w:rsidRDefault="007A188A" w:rsidP="007A188A">
    <w:pPr>
      <w:jc w:val="center"/>
      <w:rPr>
        <w:b/>
        <w:bCs/>
        <w:sz w:val="28"/>
        <w:szCs w:val="28"/>
        <w:u w:val="single"/>
      </w:rPr>
    </w:pPr>
    <w:r w:rsidRPr="007A188A">
      <w:rPr>
        <w:b/>
        <w:bCs/>
        <w:sz w:val="28"/>
        <w:szCs w:val="28"/>
        <w:u w:val="single"/>
      </w:rPr>
      <w:t>The Benefits, Challenges, and Detriments of Forgiveness</w:t>
    </w:r>
  </w:p>
  <w:p w:rsidR="007A188A" w:rsidRDefault="007A188A" w:rsidP="007A188A">
    <w:pPr>
      <w:pStyle w:val="Header"/>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CE0" w:rsidRPr="007A188A" w:rsidRDefault="00A95CE0" w:rsidP="00A95CE0">
    <w:pPr>
      <w:jc w:val="center"/>
      <w:rPr>
        <w:b/>
        <w:bCs/>
        <w:sz w:val="28"/>
        <w:szCs w:val="28"/>
        <w:u w:val="single"/>
      </w:rPr>
    </w:pPr>
    <w:r>
      <w:tab/>
    </w:r>
    <w:r w:rsidRPr="007A188A">
      <w:rPr>
        <w:b/>
        <w:bCs/>
        <w:sz w:val="28"/>
        <w:szCs w:val="28"/>
        <w:u w:val="single"/>
      </w:rPr>
      <w:t>The Benefits, Challenges, and Detriments of Forgiveness</w:t>
    </w:r>
  </w:p>
  <w:p w:rsidR="00A95CE0" w:rsidRDefault="00A95CE0" w:rsidP="00A95CE0">
    <w:pPr>
      <w:pStyle w:val="Header"/>
      <w:jc w:val="center"/>
    </w:pPr>
    <w:r>
      <w:t xml:space="preserve">R’ </w:t>
    </w:r>
    <w:proofErr w:type="spellStart"/>
    <w:r>
      <w:t>Mordechai</w:t>
    </w:r>
    <w:proofErr w:type="spellEnd"/>
    <w:r>
      <w:t xml:space="preserve"> </w:t>
    </w:r>
    <w:proofErr w:type="spellStart"/>
    <w:r>
      <w:t>Schiffman</w:t>
    </w:r>
    <w:proofErr w:type="spellEnd"/>
    <w:r>
      <w:t xml:space="preserve"> ▪ Kingsway Jewish Center ▪ Labor Day Lox and Learn</w:t>
    </w:r>
  </w:p>
  <w:p w:rsidR="00A95CE0" w:rsidRDefault="00A95CE0" w:rsidP="00A95CE0">
    <w:pPr>
      <w:pStyle w:val="Header"/>
      <w:jc w:val="center"/>
      <w:rPr>
        <w:rFonts w:hint="cs"/>
        <w:rtl/>
        <w:lang w:bidi="he-IL"/>
      </w:rPr>
    </w:pPr>
    <w:r>
      <w:t xml:space="preserve">Sponsored by Karen and Jake </w:t>
    </w:r>
    <w:proofErr w:type="spellStart"/>
    <w:r>
      <w:t>Abilevitz</w:t>
    </w:r>
    <w:proofErr w:type="spellEnd"/>
    <w:r>
      <w:t xml:space="preserve"> in memory of Jake’s beloved parents</w:t>
    </w:r>
    <w:proofErr w:type="gramStart"/>
    <w:r>
      <w:t xml:space="preserve">, </w:t>
    </w:r>
    <w:r>
      <w:rPr>
        <w:rFonts w:hint="cs"/>
        <w:rtl/>
        <w:lang w:bidi="he-IL"/>
      </w:rPr>
      <w:t xml:space="preserve"> אליהו</w:t>
    </w:r>
    <w:proofErr w:type="gramEnd"/>
    <w:r>
      <w:rPr>
        <w:rFonts w:hint="cs"/>
        <w:rtl/>
        <w:lang w:bidi="he-IL"/>
      </w:rPr>
      <w:t xml:space="preserve"> בן אבא ע"ה</w:t>
    </w:r>
    <w:r>
      <w:rPr>
        <w:lang w:bidi="he-IL"/>
      </w:rPr>
      <w:t xml:space="preserve">and </w:t>
    </w:r>
    <w:r>
      <w:rPr>
        <w:rFonts w:hint="cs"/>
        <w:rtl/>
        <w:lang w:bidi="he-IL"/>
      </w:rPr>
      <w:t>לאה בת אברהם ע"ה</w:t>
    </w:r>
  </w:p>
  <w:p w:rsidR="00A95CE0" w:rsidRDefault="00A95CE0" w:rsidP="00A95CE0">
    <w:pPr>
      <w:pStyle w:val="Header"/>
      <w:tabs>
        <w:tab w:val="clear" w:pos="4680"/>
        <w:tab w:val="clear" w:pos="9360"/>
        <w:tab w:val="left" w:pos="4035"/>
      </w:tabs>
      <w:rPr>
        <w:lang w:bidi="he-I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C074A"/>
    <w:multiLevelType w:val="hybridMultilevel"/>
    <w:tmpl w:val="1E922D46"/>
    <w:lvl w:ilvl="0" w:tplc="24B6BD3A">
      <w:start w:val="1"/>
      <w:numFmt w:val="decimal"/>
      <w:lvlText w:val="%1."/>
      <w:lvlJc w:val="left"/>
      <w:pPr>
        <w:ind w:left="720" w:hanging="360"/>
      </w:pPr>
      <w:rPr>
        <w:rFonts w:asciiTheme="majorBidi" w:hAnsiTheme="majorBidi" w:cstheme="majorBidi" w:hint="default"/>
        <w:b w:val="0"/>
        <w:bCs w:val="0"/>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072E28"/>
    <w:multiLevelType w:val="hybridMultilevel"/>
    <w:tmpl w:val="1E922D46"/>
    <w:lvl w:ilvl="0" w:tplc="24B6BD3A">
      <w:start w:val="1"/>
      <w:numFmt w:val="decimal"/>
      <w:lvlText w:val="%1."/>
      <w:lvlJc w:val="left"/>
      <w:pPr>
        <w:ind w:left="720" w:hanging="360"/>
      </w:pPr>
      <w:rPr>
        <w:rFonts w:asciiTheme="majorBidi" w:hAnsiTheme="majorBidi" w:cstheme="majorBidi" w:hint="default"/>
        <w:b w:val="0"/>
        <w:bCs w:val="0"/>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5D37F2"/>
    <w:multiLevelType w:val="hybridMultilevel"/>
    <w:tmpl w:val="63424BC4"/>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3D1B4D"/>
    <w:multiLevelType w:val="hybridMultilevel"/>
    <w:tmpl w:val="1E922D46"/>
    <w:lvl w:ilvl="0" w:tplc="24B6BD3A">
      <w:start w:val="1"/>
      <w:numFmt w:val="decimal"/>
      <w:lvlText w:val="%1."/>
      <w:lvlJc w:val="left"/>
      <w:pPr>
        <w:ind w:left="720" w:hanging="360"/>
      </w:pPr>
      <w:rPr>
        <w:rFonts w:asciiTheme="majorBidi" w:hAnsiTheme="majorBidi" w:cstheme="majorBidi" w:hint="default"/>
        <w:b w:val="0"/>
        <w:bCs w:val="0"/>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371EF1"/>
    <w:multiLevelType w:val="hybridMultilevel"/>
    <w:tmpl w:val="51EC62D4"/>
    <w:lvl w:ilvl="0" w:tplc="81BA50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8387669"/>
    <w:multiLevelType w:val="hybridMultilevel"/>
    <w:tmpl w:val="1E922D46"/>
    <w:lvl w:ilvl="0" w:tplc="24B6BD3A">
      <w:start w:val="1"/>
      <w:numFmt w:val="decimal"/>
      <w:lvlText w:val="%1."/>
      <w:lvlJc w:val="left"/>
      <w:pPr>
        <w:ind w:left="720" w:hanging="360"/>
      </w:pPr>
      <w:rPr>
        <w:rFonts w:asciiTheme="majorBidi" w:hAnsiTheme="majorBidi" w:cstheme="majorBidi" w:hint="default"/>
        <w:b w:val="0"/>
        <w:bCs w:val="0"/>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631458"/>
    <w:multiLevelType w:val="hybridMultilevel"/>
    <w:tmpl w:val="00087E40"/>
    <w:lvl w:ilvl="0" w:tplc="3F529F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88A"/>
    <w:rsid w:val="00061F9E"/>
    <w:rsid w:val="001C4DB6"/>
    <w:rsid w:val="001D6DFD"/>
    <w:rsid w:val="00277BDE"/>
    <w:rsid w:val="0043780C"/>
    <w:rsid w:val="00453129"/>
    <w:rsid w:val="00523368"/>
    <w:rsid w:val="005A163A"/>
    <w:rsid w:val="00622A96"/>
    <w:rsid w:val="007A188A"/>
    <w:rsid w:val="00852FB4"/>
    <w:rsid w:val="00922E96"/>
    <w:rsid w:val="00A15FF5"/>
    <w:rsid w:val="00A70733"/>
    <w:rsid w:val="00A91152"/>
    <w:rsid w:val="00A95CE0"/>
    <w:rsid w:val="00B344FB"/>
    <w:rsid w:val="00C52218"/>
    <w:rsid w:val="00C85EAD"/>
    <w:rsid w:val="00ED04CE"/>
    <w:rsid w:val="00F56B30"/>
    <w:rsid w:val="00F90E2E"/>
    <w:rsid w:val="00F912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Bidi" w:eastAsiaTheme="minorHAnsi" w:hAnsiTheme="majorBidi" w:cstheme="majorBidi"/>
        <w:sz w:val="24"/>
        <w:szCs w:val="24"/>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88A"/>
    <w:pPr>
      <w:tabs>
        <w:tab w:val="center" w:pos="4680"/>
        <w:tab w:val="right" w:pos="9360"/>
      </w:tabs>
    </w:pPr>
  </w:style>
  <w:style w:type="character" w:customStyle="1" w:styleId="HeaderChar">
    <w:name w:val="Header Char"/>
    <w:basedOn w:val="DefaultParagraphFont"/>
    <w:link w:val="Header"/>
    <w:uiPriority w:val="99"/>
    <w:rsid w:val="007A188A"/>
  </w:style>
  <w:style w:type="paragraph" w:styleId="Footer">
    <w:name w:val="footer"/>
    <w:basedOn w:val="Normal"/>
    <w:link w:val="FooterChar"/>
    <w:uiPriority w:val="99"/>
    <w:unhideWhenUsed/>
    <w:rsid w:val="007A188A"/>
    <w:pPr>
      <w:tabs>
        <w:tab w:val="center" w:pos="4680"/>
        <w:tab w:val="right" w:pos="9360"/>
      </w:tabs>
    </w:pPr>
  </w:style>
  <w:style w:type="character" w:customStyle="1" w:styleId="FooterChar">
    <w:name w:val="Footer Char"/>
    <w:basedOn w:val="DefaultParagraphFont"/>
    <w:link w:val="Footer"/>
    <w:uiPriority w:val="99"/>
    <w:rsid w:val="007A188A"/>
  </w:style>
  <w:style w:type="paragraph" w:styleId="ListParagraph">
    <w:name w:val="List Paragraph"/>
    <w:basedOn w:val="Normal"/>
    <w:uiPriority w:val="34"/>
    <w:qFormat/>
    <w:rsid w:val="007A188A"/>
    <w:pPr>
      <w:ind w:left="720"/>
      <w:contextualSpacing/>
    </w:pPr>
  </w:style>
  <w:style w:type="paragraph" w:styleId="BalloonText">
    <w:name w:val="Balloon Text"/>
    <w:basedOn w:val="Normal"/>
    <w:link w:val="BalloonTextChar"/>
    <w:uiPriority w:val="99"/>
    <w:semiHidden/>
    <w:unhideWhenUsed/>
    <w:rsid w:val="001C4DB6"/>
    <w:rPr>
      <w:rFonts w:ascii="Tahoma" w:hAnsi="Tahoma" w:cs="Tahoma"/>
      <w:sz w:val="16"/>
      <w:szCs w:val="16"/>
    </w:rPr>
  </w:style>
  <w:style w:type="character" w:customStyle="1" w:styleId="BalloonTextChar">
    <w:name w:val="Balloon Text Char"/>
    <w:basedOn w:val="DefaultParagraphFont"/>
    <w:link w:val="BalloonText"/>
    <w:uiPriority w:val="99"/>
    <w:semiHidden/>
    <w:rsid w:val="001C4DB6"/>
    <w:rPr>
      <w:rFonts w:ascii="Tahoma" w:hAnsi="Tahoma" w:cs="Tahoma"/>
      <w:sz w:val="16"/>
      <w:szCs w:val="16"/>
    </w:rPr>
  </w:style>
  <w:style w:type="table" w:styleId="TableGrid">
    <w:name w:val="Table Grid"/>
    <w:basedOn w:val="TableNormal"/>
    <w:uiPriority w:val="59"/>
    <w:rsid w:val="00F90E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Bidi" w:eastAsiaTheme="minorHAnsi" w:hAnsiTheme="majorBidi" w:cstheme="majorBidi"/>
        <w:sz w:val="24"/>
        <w:szCs w:val="24"/>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188A"/>
    <w:pPr>
      <w:tabs>
        <w:tab w:val="center" w:pos="4680"/>
        <w:tab w:val="right" w:pos="9360"/>
      </w:tabs>
    </w:pPr>
  </w:style>
  <w:style w:type="character" w:customStyle="1" w:styleId="HeaderChar">
    <w:name w:val="Header Char"/>
    <w:basedOn w:val="DefaultParagraphFont"/>
    <w:link w:val="Header"/>
    <w:uiPriority w:val="99"/>
    <w:rsid w:val="007A188A"/>
  </w:style>
  <w:style w:type="paragraph" w:styleId="Footer">
    <w:name w:val="footer"/>
    <w:basedOn w:val="Normal"/>
    <w:link w:val="FooterChar"/>
    <w:uiPriority w:val="99"/>
    <w:unhideWhenUsed/>
    <w:rsid w:val="007A188A"/>
    <w:pPr>
      <w:tabs>
        <w:tab w:val="center" w:pos="4680"/>
        <w:tab w:val="right" w:pos="9360"/>
      </w:tabs>
    </w:pPr>
  </w:style>
  <w:style w:type="character" w:customStyle="1" w:styleId="FooterChar">
    <w:name w:val="Footer Char"/>
    <w:basedOn w:val="DefaultParagraphFont"/>
    <w:link w:val="Footer"/>
    <w:uiPriority w:val="99"/>
    <w:rsid w:val="007A188A"/>
  </w:style>
  <w:style w:type="paragraph" w:styleId="ListParagraph">
    <w:name w:val="List Paragraph"/>
    <w:basedOn w:val="Normal"/>
    <w:uiPriority w:val="34"/>
    <w:qFormat/>
    <w:rsid w:val="007A188A"/>
    <w:pPr>
      <w:ind w:left="720"/>
      <w:contextualSpacing/>
    </w:pPr>
  </w:style>
  <w:style w:type="paragraph" w:styleId="BalloonText">
    <w:name w:val="Balloon Text"/>
    <w:basedOn w:val="Normal"/>
    <w:link w:val="BalloonTextChar"/>
    <w:uiPriority w:val="99"/>
    <w:semiHidden/>
    <w:unhideWhenUsed/>
    <w:rsid w:val="001C4DB6"/>
    <w:rPr>
      <w:rFonts w:ascii="Tahoma" w:hAnsi="Tahoma" w:cs="Tahoma"/>
      <w:sz w:val="16"/>
      <w:szCs w:val="16"/>
    </w:rPr>
  </w:style>
  <w:style w:type="character" w:customStyle="1" w:styleId="BalloonTextChar">
    <w:name w:val="Balloon Text Char"/>
    <w:basedOn w:val="DefaultParagraphFont"/>
    <w:link w:val="BalloonText"/>
    <w:uiPriority w:val="99"/>
    <w:semiHidden/>
    <w:rsid w:val="001C4DB6"/>
    <w:rPr>
      <w:rFonts w:ascii="Tahoma" w:hAnsi="Tahoma" w:cs="Tahoma"/>
      <w:sz w:val="16"/>
      <w:szCs w:val="16"/>
    </w:rPr>
  </w:style>
  <w:style w:type="table" w:styleId="TableGrid">
    <w:name w:val="Table Grid"/>
    <w:basedOn w:val="TableNormal"/>
    <w:uiPriority w:val="59"/>
    <w:rsid w:val="00F90E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2.wdp"/><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microsoft.com/office/2007/relationships/hdphoto" Target="media/hdphoto1.wdp"/><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hdphoto" Target="media/hdphoto3.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D50E5-B5D2-4A59-9A1E-F0828B16F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4</Pages>
  <Words>1622</Words>
  <Characters>9251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5</cp:revision>
  <cp:lastPrinted>2013-09-02T05:37:00Z</cp:lastPrinted>
  <dcterms:created xsi:type="dcterms:W3CDTF">2013-09-02T03:38:00Z</dcterms:created>
  <dcterms:modified xsi:type="dcterms:W3CDTF">2013-09-02T11:55:00Z</dcterms:modified>
</cp:coreProperties>
</file>