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16" w:rsidRPr="000A32A6" w:rsidRDefault="000A32A6" w:rsidP="000A32A6">
      <w:pPr>
        <w:ind w:left="-851" w:right="-999"/>
        <w:rPr>
          <w:rFonts w:ascii="Engravers MT" w:hAnsi="Engravers MT"/>
          <w:b/>
          <w:bCs/>
          <w:sz w:val="30"/>
          <w:szCs w:val="30"/>
          <w:u w:val="single"/>
        </w:rPr>
      </w:pPr>
      <w:bookmarkStart w:id="0" w:name="_GoBack"/>
      <w:bookmarkEnd w:id="0"/>
      <w:r w:rsidRPr="000A32A6">
        <w:rPr>
          <w:rFonts w:ascii="Engravers MT" w:hAnsi="Engravers MT"/>
          <w:b/>
          <w:bCs/>
          <w:sz w:val="30"/>
          <w:szCs w:val="30"/>
          <w:u w:val="single"/>
        </w:rPr>
        <w:t>How Past Mistakes Can Enhance Your Future</w:t>
      </w:r>
    </w:p>
    <w:p w:rsidR="000A32A6" w:rsidRDefault="000A32A6" w:rsidP="00113416">
      <w:pPr>
        <w:jc w:val="center"/>
        <w:rPr>
          <w:b/>
          <w:bCs/>
          <w:u w:val="single"/>
        </w:rPr>
      </w:pPr>
    </w:p>
    <w:p w:rsidR="00C17C86" w:rsidRDefault="00C17C86" w:rsidP="00113416">
      <w:pPr>
        <w:jc w:val="center"/>
        <w:rPr>
          <w:b/>
          <w:bCs/>
          <w:u w:val="single"/>
        </w:rPr>
      </w:pPr>
      <w:r>
        <w:rPr>
          <w:b/>
          <w:bCs/>
          <w:noProof/>
          <w:u w:val="single"/>
        </w:rPr>
        <w:drawing>
          <wp:inline distT="0" distB="0" distL="0" distR="0">
            <wp:extent cx="4451230" cy="3307798"/>
            <wp:effectExtent l="0" t="0" r="6985" b="6985"/>
            <wp:docPr id="1" name="Picture 1" descr="C:\Users\Yakov\Dropbox\Torah\חכמת השור\Shtik\calvin and hobb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kov\Dropbox\Torah\חכמת השור\Shtik\calvin and hobbes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230" cy="3307798"/>
                    </a:xfrm>
                    <a:prstGeom prst="rect">
                      <a:avLst/>
                    </a:prstGeom>
                    <a:noFill/>
                    <a:ln>
                      <a:noFill/>
                    </a:ln>
                  </pic:spPr>
                </pic:pic>
              </a:graphicData>
            </a:graphic>
          </wp:inline>
        </w:drawing>
      </w:r>
    </w:p>
    <w:p w:rsidR="00C17C86" w:rsidRDefault="00C17C86" w:rsidP="00113416">
      <w:pPr>
        <w:jc w:val="center"/>
        <w:rPr>
          <w:b/>
          <w:bCs/>
          <w:u w:val="single"/>
        </w:rPr>
      </w:pPr>
    </w:p>
    <w:p w:rsidR="00C17C86" w:rsidRDefault="00C17C86" w:rsidP="00113416">
      <w:pPr>
        <w:jc w:val="center"/>
        <w:rPr>
          <w:b/>
          <w:bCs/>
          <w:u w:val="single"/>
        </w:rPr>
      </w:pPr>
    </w:p>
    <w:p w:rsidR="00113416" w:rsidRPr="000A32A6" w:rsidRDefault="00C17C86" w:rsidP="00C17C86">
      <w:pPr>
        <w:bidi/>
        <w:jc w:val="center"/>
        <w:rPr>
          <w:rFonts w:ascii="Lucida Calligraphy" w:hAnsi="Lucida Calligraphy"/>
          <w:b/>
          <w:bCs/>
        </w:rPr>
      </w:pPr>
      <w:r w:rsidRPr="000A32A6">
        <w:rPr>
          <w:rFonts w:ascii="Lucida Calligraphy" w:hAnsi="Lucida Calligraphy"/>
          <w:b/>
          <w:bCs/>
        </w:rPr>
        <w:t>I. The Traditional View</w:t>
      </w:r>
    </w:p>
    <w:p w:rsidR="00C17C86" w:rsidRDefault="00C17C86" w:rsidP="00113416">
      <w:pPr>
        <w:bidi/>
        <w:rPr>
          <w:b/>
          <w:bCs/>
          <w:u w:val="single"/>
          <w:rtl/>
        </w:rPr>
      </w:pPr>
    </w:p>
    <w:p w:rsidR="00C17C86" w:rsidRPr="000A32A6" w:rsidRDefault="00363694" w:rsidP="000A32A6">
      <w:pPr>
        <w:jc w:val="center"/>
        <w:rPr>
          <w:b/>
          <w:bCs/>
        </w:rPr>
      </w:pPr>
      <w:r w:rsidRPr="000A32A6">
        <w:rPr>
          <w:b/>
          <w:bCs/>
        </w:rPr>
        <w:t>A. Is Teshuva Logical?</w:t>
      </w:r>
    </w:p>
    <w:p w:rsidR="000A32A6" w:rsidRPr="000A32A6" w:rsidRDefault="000A32A6" w:rsidP="000A32A6">
      <w:pPr>
        <w:bidi/>
        <w:jc w:val="center"/>
        <w:rPr>
          <w:b/>
          <w:bCs/>
          <w:u w:val="single"/>
        </w:rPr>
      </w:pPr>
    </w:p>
    <w:p w:rsidR="006F2435" w:rsidRDefault="00C17C86" w:rsidP="00C17C86">
      <w:pPr>
        <w:bidi/>
        <w:rPr>
          <w:rtl/>
        </w:rPr>
      </w:pPr>
      <w:r>
        <w:rPr>
          <w:b/>
          <w:bCs/>
          <w:u w:val="single"/>
        </w:rPr>
        <w:t>1</w:t>
      </w:r>
      <w:r>
        <w:rPr>
          <w:rFonts w:hint="cs"/>
          <w:b/>
          <w:bCs/>
          <w:u w:val="single"/>
          <w:rtl/>
        </w:rPr>
        <w:t xml:space="preserve">. </w:t>
      </w:r>
      <w:r w:rsidR="00363694">
        <w:rPr>
          <w:rFonts w:hint="cs"/>
          <w:b/>
          <w:bCs/>
          <w:u w:val="single"/>
          <w:rtl/>
        </w:rPr>
        <w:t xml:space="preserve">תלמוד </w:t>
      </w:r>
      <w:r w:rsidR="006F2435">
        <w:rPr>
          <w:rFonts w:hint="cs"/>
          <w:b/>
          <w:bCs/>
          <w:u w:val="single"/>
          <w:rtl/>
        </w:rPr>
        <w:t xml:space="preserve">ירושלמי </w:t>
      </w:r>
      <w:r w:rsidR="00363694">
        <w:rPr>
          <w:rFonts w:hint="cs"/>
          <w:b/>
          <w:bCs/>
          <w:u w:val="single"/>
          <w:rtl/>
        </w:rPr>
        <w:t xml:space="preserve">מסכת </w:t>
      </w:r>
      <w:r w:rsidR="006F2435">
        <w:rPr>
          <w:rFonts w:hint="cs"/>
          <w:b/>
          <w:bCs/>
          <w:u w:val="single"/>
          <w:rtl/>
        </w:rPr>
        <w:t xml:space="preserve">מכות </w:t>
      </w:r>
      <w:r w:rsidR="00363694">
        <w:rPr>
          <w:rFonts w:hint="cs"/>
          <w:b/>
          <w:bCs/>
          <w:u w:val="single"/>
          <w:rtl/>
        </w:rPr>
        <w:t xml:space="preserve">פרק ב משנה </w:t>
      </w:r>
      <w:r w:rsidR="006F2435">
        <w:rPr>
          <w:rFonts w:hint="cs"/>
          <w:b/>
          <w:bCs/>
          <w:u w:val="single"/>
          <w:rtl/>
        </w:rPr>
        <w:t>ו</w:t>
      </w:r>
      <w:r w:rsidR="00E773B4">
        <w:rPr>
          <w:rFonts w:hint="cs"/>
          <w:b/>
          <w:bCs/>
          <w:u w:val="single"/>
          <w:rtl/>
        </w:rPr>
        <w:t xml:space="preserve"> (</w:t>
      </w:r>
      <w:r w:rsidR="00363694">
        <w:rPr>
          <w:rFonts w:hint="cs"/>
          <w:b/>
          <w:bCs/>
          <w:u w:val="single"/>
          <w:rtl/>
        </w:rPr>
        <w:t>דף ז.)</w:t>
      </w:r>
    </w:p>
    <w:p w:rsidR="00E773B4" w:rsidRPr="00E773B4" w:rsidRDefault="00E773B4" w:rsidP="00E773B4">
      <w:pPr>
        <w:bidi/>
        <w:rPr>
          <w:rtl/>
        </w:rPr>
      </w:pPr>
      <w:r>
        <w:rPr>
          <w:rFonts w:hint="cs"/>
          <w:rtl/>
        </w:rPr>
        <w:t>שאלו לחכמה חוטא מהו עונשו? אמרו להם 'חטאים תרדף רעה.' שאלו לנבואה חוטא מהו עונשו? אמרה להן 'הנפש החוטאת היא תמות.' שאלו לקודשא בריך הוא חוטא מהו עונשו? אמר להן יעשו תשובה ויתכפר לו. היינו דכתיב על כן יורה חטאים בדרך יורה לחטאים דרך לעשות תשובה.</w:t>
      </w:r>
    </w:p>
    <w:p w:rsidR="00C17C86" w:rsidRDefault="00C17C86" w:rsidP="006F2435">
      <w:pPr>
        <w:bidi/>
        <w:rPr>
          <w:b/>
          <w:bCs/>
          <w:u w:val="single"/>
        </w:rPr>
      </w:pPr>
    </w:p>
    <w:p w:rsidR="00351587" w:rsidRPr="00351587" w:rsidRDefault="00351587" w:rsidP="00351587">
      <w:pPr>
        <w:rPr>
          <w:b/>
          <w:bCs/>
          <w:i/>
          <w:iCs/>
          <w:u w:val="single"/>
        </w:rPr>
      </w:pPr>
      <w:proofErr w:type="spellStart"/>
      <w:r w:rsidRPr="00351587">
        <w:rPr>
          <w:b/>
          <w:bCs/>
          <w:u w:val="single"/>
        </w:rPr>
        <w:t>Barukh</w:t>
      </w:r>
      <w:proofErr w:type="spellEnd"/>
      <w:r w:rsidRPr="00351587">
        <w:rPr>
          <w:b/>
          <w:bCs/>
          <w:u w:val="single"/>
        </w:rPr>
        <w:t xml:space="preserve"> Spinoza, </w:t>
      </w:r>
      <w:proofErr w:type="gramStart"/>
      <w:r w:rsidRPr="00351587">
        <w:rPr>
          <w:b/>
          <w:bCs/>
          <w:i/>
          <w:iCs/>
          <w:u w:val="single"/>
        </w:rPr>
        <w:t>The</w:t>
      </w:r>
      <w:proofErr w:type="gramEnd"/>
      <w:r w:rsidRPr="00351587">
        <w:rPr>
          <w:b/>
          <w:bCs/>
          <w:i/>
          <w:iCs/>
          <w:u w:val="single"/>
        </w:rPr>
        <w:t xml:space="preserve"> Ethics</w:t>
      </w:r>
    </w:p>
    <w:p w:rsidR="00351587" w:rsidRPr="00351587" w:rsidRDefault="004058E1" w:rsidP="00351587">
      <w:r w:rsidRPr="00351587">
        <w:t>Repentance</w:t>
      </w:r>
      <w:r w:rsidR="00351587" w:rsidRPr="00351587">
        <w:t xml:space="preserve"> is no virtue, and does not spring from reason; but whosoever repents is doubly oppressed and incapable.</w:t>
      </w:r>
    </w:p>
    <w:p w:rsidR="00351587" w:rsidRDefault="00351587" w:rsidP="00351587">
      <w:pPr>
        <w:rPr>
          <w:b/>
          <w:bCs/>
          <w:u w:val="single"/>
          <w:rtl/>
        </w:rPr>
      </w:pPr>
    </w:p>
    <w:p w:rsidR="00363694" w:rsidRPr="000A32A6" w:rsidRDefault="00363694" w:rsidP="000A32A6">
      <w:pPr>
        <w:jc w:val="center"/>
        <w:rPr>
          <w:b/>
          <w:bCs/>
        </w:rPr>
      </w:pPr>
      <w:r w:rsidRPr="000A32A6">
        <w:rPr>
          <w:b/>
          <w:bCs/>
        </w:rPr>
        <w:t>B. How?</w:t>
      </w:r>
    </w:p>
    <w:p w:rsidR="000A32A6" w:rsidRPr="00363694" w:rsidRDefault="000A32A6" w:rsidP="000A32A6">
      <w:pPr>
        <w:bidi/>
        <w:jc w:val="center"/>
        <w:rPr>
          <w:b/>
          <w:bCs/>
          <w:u w:val="single"/>
        </w:rPr>
      </w:pPr>
    </w:p>
    <w:p w:rsidR="00D63581" w:rsidRPr="00D63581" w:rsidRDefault="00C86ECD" w:rsidP="00D63581">
      <w:pPr>
        <w:bidi/>
        <w:rPr>
          <w:b/>
          <w:bCs/>
          <w:u w:val="single"/>
        </w:rPr>
      </w:pPr>
      <w:r>
        <w:rPr>
          <w:b/>
          <w:bCs/>
          <w:u w:val="single"/>
        </w:rPr>
        <w:t>2</w:t>
      </w:r>
      <w:r w:rsidR="00363694">
        <w:rPr>
          <w:rFonts w:hint="cs"/>
          <w:b/>
          <w:bCs/>
          <w:u w:val="single"/>
          <w:rtl/>
        </w:rPr>
        <w:t xml:space="preserve">. </w:t>
      </w:r>
      <w:r w:rsidR="00D63581" w:rsidRPr="00D63581">
        <w:rPr>
          <w:b/>
          <w:bCs/>
          <w:u w:val="single"/>
          <w:rtl/>
        </w:rPr>
        <w:t>רמב"ם הלכות תשובה פרק ב הלכה ד</w:t>
      </w:r>
    </w:p>
    <w:p w:rsidR="00D63581" w:rsidRPr="00D63581" w:rsidRDefault="00D63581" w:rsidP="00D63581">
      <w:pPr>
        <w:bidi/>
      </w:pPr>
      <w:r w:rsidRPr="00D63581">
        <w:rPr>
          <w:rtl/>
        </w:rPr>
        <w:t>מדרכי התשובה להיות השב צועק תמיד</w:t>
      </w:r>
      <w:r w:rsidR="004058E1">
        <w:rPr>
          <w:rtl/>
        </w:rPr>
        <w:t xml:space="preserve"> לפני השם </w:t>
      </w:r>
      <w:r w:rsidR="004058E1" w:rsidRPr="004058E1">
        <w:rPr>
          <w:b/>
          <w:bCs/>
          <w:rtl/>
        </w:rPr>
        <w:t>בבכי ובתחנונים</w:t>
      </w:r>
      <w:r w:rsidR="004058E1">
        <w:rPr>
          <w:rtl/>
        </w:rPr>
        <w:t xml:space="preserve"> ועושה</w:t>
      </w:r>
      <w:r w:rsidRPr="00D63581">
        <w:rPr>
          <w:rtl/>
        </w:rPr>
        <w:t xml:space="preserve"> צדקה כפי כחו ומתרחק הרבה מן הדבר שחטא בו </w:t>
      </w:r>
      <w:r w:rsidRPr="004058E1">
        <w:rPr>
          <w:b/>
          <w:bCs/>
          <w:rtl/>
        </w:rPr>
        <w:t>ומשנה שמו כלומר אני אחר ואיני אותו האיש</w:t>
      </w:r>
      <w:r w:rsidRPr="00D63581">
        <w:rPr>
          <w:rtl/>
        </w:rPr>
        <w:t xml:space="preserve"> שעשה אותן המעשים ומשנה מעשיו כולן לטובה ולדרך ישרה וגולה ממקומו, שגלות מכפרת עון מפני שגורמת לו </w:t>
      </w:r>
      <w:r w:rsidRPr="004058E1">
        <w:rPr>
          <w:b/>
          <w:bCs/>
          <w:rtl/>
        </w:rPr>
        <w:t>להכנע ולהיות עניו ושפל רוח</w:t>
      </w:r>
      <w:r w:rsidRPr="00D63581">
        <w:rPr>
          <w:rtl/>
        </w:rPr>
        <w:t xml:space="preserve">. </w:t>
      </w:r>
    </w:p>
    <w:p w:rsidR="00363694" w:rsidRDefault="00363694" w:rsidP="00363694">
      <w:pPr>
        <w:bidi/>
        <w:rPr>
          <w:b/>
          <w:bCs/>
          <w:u w:val="single"/>
        </w:rPr>
      </w:pPr>
    </w:p>
    <w:p w:rsidR="004058E1" w:rsidRDefault="004058E1" w:rsidP="004058E1">
      <w:pPr>
        <w:bidi/>
        <w:rPr>
          <w:b/>
          <w:bCs/>
          <w:u w:val="single"/>
        </w:rPr>
      </w:pPr>
    </w:p>
    <w:p w:rsidR="004058E1" w:rsidRDefault="004058E1" w:rsidP="004058E1">
      <w:pPr>
        <w:bidi/>
        <w:rPr>
          <w:b/>
          <w:bCs/>
          <w:u w:val="single"/>
        </w:rPr>
      </w:pPr>
    </w:p>
    <w:p w:rsidR="004058E1" w:rsidRPr="00D63581" w:rsidRDefault="004058E1" w:rsidP="004058E1">
      <w:pPr>
        <w:bidi/>
        <w:rPr>
          <w:b/>
          <w:bCs/>
          <w:u w:val="single"/>
        </w:rPr>
      </w:pPr>
    </w:p>
    <w:p w:rsidR="00D63581" w:rsidRPr="00D63581" w:rsidRDefault="00D63581" w:rsidP="00D63581">
      <w:pPr>
        <w:jc w:val="center"/>
        <w:rPr>
          <w:b/>
          <w:bCs/>
        </w:rPr>
      </w:pPr>
      <w:r w:rsidRPr="00D63581">
        <w:rPr>
          <w:b/>
          <w:bCs/>
        </w:rPr>
        <w:lastRenderedPageBreak/>
        <w:t xml:space="preserve">C. What is </w:t>
      </w:r>
      <w:r>
        <w:rPr>
          <w:b/>
          <w:bCs/>
        </w:rPr>
        <w:t>the G</w:t>
      </w:r>
      <w:r w:rsidRPr="00D63581">
        <w:rPr>
          <w:b/>
          <w:bCs/>
        </w:rPr>
        <w:t>ain?</w:t>
      </w:r>
    </w:p>
    <w:p w:rsidR="00363694" w:rsidRDefault="00C86ECD" w:rsidP="00363694">
      <w:pPr>
        <w:bidi/>
        <w:rPr>
          <w:b/>
          <w:bCs/>
          <w:u w:val="single"/>
          <w:rtl/>
        </w:rPr>
      </w:pPr>
      <w:r>
        <w:rPr>
          <w:rFonts w:hint="cs"/>
          <w:b/>
          <w:bCs/>
          <w:u w:val="single"/>
          <w:rtl/>
        </w:rPr>
        <w:t>3</w:t>
      </w:r>
      <w:r w:rsidR="00363694">
        <w:rPr>
          <w:rFonts w:hint="cs"/>
          <w:b/>
          <w:bCs/>
          <w:u w:val="single"/>
          <w:rtl/>
        </w:rPr>
        <w:t>.</w:t>
      </w:r>
      <w:r w:rsidR="00363694">
        <w:rPr>
          <w:b/>
          <w:bCs/>
          <w:u w:val="single"/>
        </w:rPr>
        <w:t xml:space="preserve"> </w:t>
      </w:r>
      <w:r w:rsidR="00886007">
        <w:rPr>
          <w:rFonts w:hint="cs"/>
          <w:b/>
          <w:bCs/>
          <w:u w:val="single"/>
          <w:rtl/>
        </w:rPr>
        <w:t>רמב"ם הל' תשובה פרק ב הלכה א</w:t>
      </w:r>
    </w:p>
    <w:p w:rsidR="006F2435" w:rsidRPr="00363694" w:rsidRDefault="00AA04D4" w:rsidP="00363694">
      <w:pPr>
        <w:bidi/>
        <w:rPr>
          <w:b/>
          <w:bCs/>
          <w:u w:val="single"/>
        </w:rPr>
      </w:pPr>
      <w:r>
        <w:rPr>
          <w:rtl/>
        </w:rPr>
        <w:t>אי זו היא תשובה גמורה זה שבא לידו דבר שעבר בו ואפשר בידו לעשותו ופירש ולא עשה מפני התשובה לא מיראה ולא מכשלון כח</w:t>
      </w:r>
      <w:r w:rsidR="00363694">
        <w:rPr>
          <w:rFonts w:hint="cs"/>
          <w:rtl/>
        </w:rPr>
        <w:t>.</w:t>
      </w:r>
    </w:p>
    <w:p w:rsidR="00EC174A" w:rsidRDefault="00EC174A" w:rsidP="000A32A6"/>
    <w:p w:rsidR="00EC174A" w:rsidRDefault="00C86ECD" w:rsidP="00EC174A">
      <w:r>
        <w:rPr>
          <w:b/>
          <w:bCs/>
          <w:u w:val="single"/>
        </w:rPr>
        <w:t xml:space="preserve">4. </w:t>
      </w:r>
      <w:r w:rsidR="00EC174A" w:rsidRPr="00EC174A">
        <w:rPr>
          <w:b/>
          <w:bCs/>
          <w:u w:val="single"/>
        </w:rPr>
        <w:t>Halakhic Man, page 113</w:t>
      </w:r>
    </w:p>
    <w:p w:rsidR="00EC174A" w:rsidRPr="00EC174A" w:rsidRDefault="00EC174A" w:rsidP="00EC174A">
      <w:r>
        <w:t>The latter [</w:t>
      </w:r>
      <w:r w:rsidRPr="004058E1">
        <w:rPr>
          <w:i/>
          <w:iCs/>
        </w:rPr>
        <w:t>homo</w:t>
      </w:r>
      <w:r>
        <w:t xml:space="preserve"> </w:t>
      </w:r>
      <w:r w:rsidRPr="004058E1">
        <w:rPr>
          <w:i/>
          <w:iCs/>
        </w:rPr>
        <w:t>religiosus</w:t>
      </w:r>
      <w:r>
        <w:t>] views repentance only from the persp</w:t>
      </w:r>
      <w:r w:rsidR="004058E1">
        <w:t>ective of atonement, only as a g</w:t>
      </w:r>
      <w:r>
        <w:t>uard against punishment, as an empty regret which does not create anything…</w:t>
      </w:r>
      <w:r w:rsidR="004058E1">
        <w:t xml:space="preserve"> A deep mela</w:t>
      </w:r>
      <w:r>
        <w:t xml:space="preserve">ncholy afflicts his spirit. He mourns for the yesterdays that are irretrievably past, the times that have long since sunk into the abyss of oblivion, the deeds that have vanished like shadows, facts that he will never be able to change. Therefore, for </w:t>
      </w:r>
      <w:r w:rsidRPr="004058E1">
        <w:rPr>
          <w:i/>
          <w:iCs/>
        </w:rPr>
        <w:t>homo religiosus</w:t>
      </w:r>
      <w:r>
        <w:t xml:space="preserve">, repentance is a wholly miraculous phenomenon made possible by the endless grace of the Almighty. </w:t>
      </w:r>
    </w:p>
    <w:p w:rsidR="000A32A6" w:rsidRDefault="000A32A6" w:rsidP="000A32A6"/>
    <w:p w:rsidR="000A32A6" w:rsidRPr="000A32A6" w:rsidRDefault="000A32A6" w:rsidP="000A32A6">
      <w:pPr>
        <w:jc w:val="center"/>
        <w:rPr>
          <w:rFonts w:ascii="Lucida Calligraphy" w:hAnsi="Lucida Calligraphy"/>
        </w:rPr>
      </w:pPr>
      <w:r w:rsidRPr="000A32A6">
        <w:rPr>
          <w:rFonts w:ascii="Lucida Calligraphy" w:hAnsi="Lucida Calligraphy"/>
        </w:rPr>
        <w:t>II. A New Approach: Teshuva that Empowers</w:t>
      </w:r>
    </w:p>
    <w:p w:rsidR="006C1E80" w:rsidRPr="00E437DD" w:rsidRDefault="006C1E80" w:rsidP="006C1E80">
      <w:pPr>
        <w:bidi/>
      </w:pPr>
    </w:p>
    <w:p w:rsidR="00E437DD" w:rsidRPr="006F2435" w:rsidRDefault="00C86ECD" w:rsidP="00E437DD">
      <w:pPr>
        <w:bidi/>
        <w:rPr>
          <w:b/>
          <w:bCs/>
          <w:u w:val="single"/>
        </w:rPr>
      </w:pPr>
      <w:r>
        <w:rPr>
          <w:rFonts w:hint="cs"/>
          <w:b/>
          <w:bCs/>
          <w:u w:val="single"/>
          <w:rtl/>
        </w:rPr>
        <w:t xml:space="preserve">5. </w:t>
      </w:r>
      <w:r w:rsidR="00E437DD">
        <w:rPr>
          <w:rFonts w:hint="cs"/>
          <w:b/>
          <w:bCs/>
          <w:u w:val="single"/>
          <w:rtl/>
        </w:rPr>
        <w:t>תלמוד בבלי מסכת</w:t>
      </w:r>
      <w:r w:rsidR="00E437DD" w:rsidRPr="006F2435">
        <w:rPr>
          <w:rFonts w:hint="cs"/>
          <w:b/>
          <w:bCs/>
          <w:u w:val="single"/>
          <w:rtl/>
        </w:rPr>
        <w:t xml:space="preserve"> יומא </w:t>
      </w:r>
      <w:r w:rsidR="00E437DD">
        <w:rPr>
          <w:rFonts w:hint="cs"/>
          <w:b/>
          <w:bCs/>
          <w:u w:val="single"/>
          <w:rtl/>
        </w:rPr>
        <w:t>דף פו עמוד ב</w:t>
      </w:r>
    </w:p>
    <w:p w:rsidR="00E437DD" w:rsidRPr="006F2435" w:rsidRDefault="00E437DD" w:rsidP="00510A5F">
      <w:pPr>
        <w:bidi/>
      </w:pPr>
      <w:r w:rsidRPr="006F2435">
        <w:rPr>
          <w:rtl/>
        </w:rPr>
        <w:t xml:space="preserve">אמר </w:t>
      </w:r>
      <w:r w:rsidRPr="00510A5F">
        <w:rPr>
          <w:b/>
          <w:bCs/>
          <w:rtl/>
        </w:rPr>
        <w:t>ריש לקיש</w:t>
      </w:r>
      <w:r w:rsidRPr="006F2435">
        <w:rPr>
          <w:rtl/>
        </w:rPr>
        <w:t xml:space="preserve"> גדולה תשובה שזדונות נעשות לו כשגגות שנאמר שובה ישראל עד ה' אלהיך כי כשלת בעונך הא עון מזיד הוא וקא קרי ליה מכשול איני והאמר ריש לקיש גדול</w:t>
      </w:r>
      <w:r w:rsidR="00510A5F">
        <w:rPr>
          <w:rtl/>
        </w:rPr>
        <w:t>ה תשובה שזדונות נעשות לו כזכיות</w:t>
      </w:r>
      <w:r w:rsidR="00510A5F">
        <w:rPr>
          <w:rFonts w:hint="cs"/>
          <w:rtl/>
        </w:rPr>
        <w:t>...?</w:t>
      </w:r>
      <w:r w:rsidRPr="006F2435">
        <w:rPr>
          <w:rtl/>
        </w:rPr>
        <w:t xml:space="preserve"> לא קשיא כאן מאהבה כאן מיראה</w:t>
      </w:r>
      <w:r w:rsidRPr="006F2435">
        <w:t>.</w:t>
      </w:r>
    </w:p>
    <w:p w:rsidR="00E437DD" w:rsidRDefault="00E437DD" w:rsidP="00E437DD">
      <w:pPr>
        <w:bidi/>
        <w:rPr>
          <w:b/>
          <w:bCs/>
          <w:u w:val="single"/>
          <w:lang w:val="en"/>
        </w:rPr>
      </w:pPr>
    </w:p>
    <w:p w:rsidR="00E437DD" w:rsidRPr="00B15848" w:rsidRDefault="00C86ECD" w:rsidP="00E437DD">
      <w:pPr>
        <w:bidi/>
        <w:rPr>
          <w:b/>
          <w:bCs/>
          <w:u w:val="single"/>
          <w:rtl/>
          <w:lang w:val="en"/>
        </w:rPr>
      </w:pPr>
      <w:r>
        <w:rPr>
          <w:rFonts w:hint="cs"/>
          <w:b/>
          <w:bCs/>
          <w:u w:val="single"/>
          <w:rtl/>
          <w:lang w:val="en"/>
        </w:rPr>
        <w:t xml:space="preserve">6. </w:t>
      </w:r>
      <w:r w:rsidR="00E437DD">
        <w:rPr>
          <w:rFonts w:hint="cs"/>
          <w:b/>
          <w:bCs/>
          <w:u w:val="single"/>
          <w:rtl/>
          <w:lang w:val="en"/>
        </w:rPr>
        <w:t>תלמוד בבלי מסכת</w:t>
      </w:r>
      <w:r w:rsidR="00E437DD" w:rsidRPr="00B15848">
        <w:rPr>
          <w:rFonts w:hint="cs"/>
          <w:b/>
          <w:bCs/>
          <w:u w:val="single"/>
          <w:rtl/>
          <w:lang w:val="en"/>
        </w:rPr>
        <w:t xml:space="preserve"> סנהדרין </w:t>
      </w:r>
      <w:r w:rsidR="00E437DD">
        <w:rPr>
          <w:rFonts w:hint="cs"/>
          <w:b/>
          <w:bCs/>
          <w:u w:val="single"/>
          <w:rtl/>
          <w:lang w:val="en"/>
        </w:rPr>
        <w:t>דף צט עמוד ב</w:t>
      </w:r>
    </w:p>
    <w:p w:rsidR="00E437DD" w:rsidRPr="00D52991" w:rsidRDefault="00E437DD" w:rsidP="00E437DD">
      <w:pPr>
        <w:bidi/>
        <w:rPr>
          <w:rtl/>
        </w:rPr>
      </w:pPr>
      <w:r w:rsidRPr="00D52991">
        <w:rPr>
          <w:rtl/>
        </w:rPr>
        <w:t>אמר רבי אבהו (אמר רב) מקום שבעלי תשובה עומדין שם צדיקים אינן עומדין שם</w:t>
      </w:r>
      <w:r w:rsidRPr="00D52991">
        <w:rPr>
          <w:rFonts w:hint="cs"/>
          <w:rtl/>
        </w:rPr>
        <w:t>.</w:t>
      </w:r>
    </w:p>
    <w:p w:rsidR="00E437DD" w:rsidRDefault="00E437DD" w:rsidP="00E437DD">
      <w:pPr>
        <w:bidi/>
      </w:pPr>
    </w:p>
    <w:p w:rsidR="004058E1" w:rsidRPr="004058E1" w:rsidRDefault="004058E1" w:rsidP="004058E1">
      <w:pPr>
        <w:pBdr>
          <w:top w:val="double" w:sz="4" w:space="1" w:color="auto"/>
          <w:left w:val="double" w:sz="4" w:space="4" w:color="auto"/>
          <w:bottom w:val="double" w:sz="4" w:space="1" w:color="auto"/>
          <w:right w:val="double" w:sz="4" w:space="4" w:color="auto"/>
        </w:pBdr>
        <w:bidi/>
        <w:ind w:left="2119" w:right="2694"/>
        <w:jc w:val="center"/>
        <w:rPr>
          <w:b/>
          <w:bCs/>
          <w:u w:val="single"/>
        </w:rPr>
      </w:pPr>
      <w:r w:rsidRPr="004058E1">
        <w:rPr>
          <w:b/>
          <w:bCs/>
          <w:u w:val="single"/>
        </w:rPr>
        <w:t>Two Aspects of Teshuva</w:t>
      </w:r>
    </w:p>
    <w:p w:rsidR="006F2435" w:rsidRPr="004058E1" w:rsidRDefault="006F2435" w:rsidP="004058E1">
      <w:pPr>
        <w:pBdr>
          <w:top w:val="double" w:sz="4" w:space="1" w:color="auto"/>
          <w:left w:val="double" w:sz="4" w:space="4" w:color="auto"/>
          <w:bottom w:val="double" w:sz="4" w:space="1" w:color="auto"/>
          <w:right w:val="double" w:sz="4" w:space="4" w:color="auto"/>
        </w:pBdr>
        <w:bidi/>
        <w:ind w:left="2119" w:right="2694"/>
        <w:jc w:val="center"/>
        <w:rPr>
          <w:rtl/>
        </w:rPr>
      </w:pPr>
      <w:r w:rsidRPr="004058E1">
        <w:rPr>
          <w:rFonts w:hint="cs"/>
          <w:b/>
          <w:bCs/>
          <w:rtl/>
        </w:rPr>
        <w:t xml:space="preserve">ויקרא </w:t>
      </w:r>
      <w:r w:rsidR="00E437DD" w:rsidRPr="004058E1">
        <w:rPr>
          <w:rFonts w:hint="cs"/>
          <w:b/>
          <w:bCs/>
          <w:rtl/>
        </w:rPr>
        <w:t xml:space="preserve">פרק </w:t>
      </w:r>
      <w:r w:rsidRPr="004058E1">
        <w:rPr>
          <w:rFonts w:hint="cs"/>
          <w:b/>
          <w:bCs/>
          <w:rtl/>
        </w:rPr>
        <w:t>ט</w:t>
      </w:r>
      <w:r w:rsidR="00E437DD" w:rsidRPr="004058E1">
        <w:rPr>
          <w:rFonts w:hint="cs"/>
          <w:b/>
          <w:bCs/>
          <w:rtl/>
        </w:rPr>
        <w:t xml:space="preserve">"ז פסוק </w:t>
      </w:r>
      <w:r w:rsidRPr="004058E1">
        <w:rPr>
          <w:rFonts w:hint="cs"/>
          <w:b/>
          <w:bCs/>
          <w:rtl/>
        </w:rPr>
        <w:t>ל</w:t>
      </w:r>
      <w:r w:rsidR="00E437DD" w:rsidRPr="004058E1">
        <w:rPr>
          <w:rFonts w:hint="cs"/>
          <w:b/>
          <w:bCs/>
          <w:rtl/>
        </w:rPr>
        <w:t>'</w:t>
      </w:r>
    </w:p>
    <w:p w:rsidR="006F2435" w:rsidRDefault="006F2435" w:rsidP="004058E1">
      <w:pPr>
        <w:pBdr>
          <w:top w:val="double" w:sz="4" w:space="1" w:color="auto"/>
          <w:left w:val="double" w:sz="4" w:space="4" w:color="auto"/>
          <w:bottom w:val="double" w:sz="4" w:space="1" w:color="auto"/>
          <w:right w:val="double" w:sz="4" w:space="4" w:color="auto"/>
        </w:pBdr>
        <w:bidi/>
        <w:ind w:left="2119" w:right="2694"/>
        <w:jc w:val="center"/>
      </w:pPr>
      <w:r>
        <w:rPr>
          <w:rFonts w:hint="cs"/>
          <w:rtl/>
        </w:rPr>
        <w:t xml:space="preserve">"כי ביום הזה </w:t>
      </w:r>
      <w:r w:rsidRPr="00B17189">
        <w:rPr>
          <w:rFonts w:hint="cs"/>
          <w:b/>
          <w:bCs/>
          <w:rtl/>
        </w:rPr>
        <w:t>יכפר</w:t>
      </w:r>
      <w:r>
        <w:rPr>
          <w:rFonts w:hint="cs"/>
          <w:rtl/>
        </w:rPr>
        <w:t xml:space="preserve"> עליכם </w:t>
      </w:r>
      <w:r w:rsidRPr="00B17189">
        <w:rPr>
          <w:rFonts w:hint="cs"/>
          <w:b/>
          <w:bCs/>
          <w:rtl/>
        </w:rPr>
        <w:t>לטהר</w:t>
      </w:r>
      <w:r>
        <w:rPr>
          <w:rFonts w:hint="cs"/>
          <w:rtl/>
        </w:rPr>
        <w:t xml:space="preserve"> אתכם."</w:t>
      </w:r>
    </w:p>
    <w:p w:rsidR="004058E1" w:rsidRDefault="004058E1" w:rsidP="004058E1">
      <w:pPr>
        <w:pStyle w:val="ListParagraph"/>
        <w:rPr>
          <w:b/>
          <w:bCs/>
        </w:rPr>
      </w:pPr>
    </w:p>
    <w:p w:rsidR="00643364" w:rsidRPr="00643364" w:rsidRDefault="00643364" w:rsidP="00643364">
      <w:pPr>
        <w:pStyle w:val="ListParagraph"/>
        <w:numPr>
          <w:ilvl w:val="0"/>
          <w:numId w:val="2"/>
        </w:numPr>
        <w:jc w:val="center"/>
        <w:rPr>
          <w:b/>
          <w:bCs/>
        </w:rPr>
      </w:pPr>
      <w:r w:rsidRPr="00643364">
        <w:rPr>
          <w:b/>
          <w:bCs/>
        </w:rPr>
        <w:t>Qualitative</w:t>
      </w:r>
      <w:r w:rsidR="00EC174A">
        <w:rPr>
          <w:b/>
          <w:bCs/>
        </w:rPr>
        <w:t>-Spiritual</w:t>
      </w:r>
      <w:r w:rsidRPr="00643364">
        <w:rPr>
          <w:b/>
          <w:bCs/>
        </w:rPr>
        <w:t xml:space="preserve"> Time</w:t>
      </w:r>
    </w:p>
    <w:p w:rsidR="00643364" w:rsidRDefault="00C86ECD" w:rsidP="00B15848">
      <w:r>
        <w:rPr>
          <w:b/>
          <w:bCs/>
          <w:u w:val="single"/>
        </w:rPr>
        <w:t xml:space="preserve">7. </w:t>
      </w:r>
      <w:r w:rsidR="00EC174A">
        <w:rPr>
          <w:b/>
          <w:bCs/>
          <w:u w:val="single"/>
        </w:rPr>
        <w:t>Halakhic Man, page 114</w:t>
      </w:r>
    </w:p>
    <w:p w:rsidR="00EC174A" w:rsidRPr="00EC174A" w:rsidRDefault="00EC174A" w:rsidP="00B15848">
      <w:r>
        <w:t>It is impossible to regret a past that is already dead, lost in the abyss of oblivion… Therefore, Spinoza and Nietzsche – from this perspective – did well to deride the idea of repentance. However, there is a past that persists in its existence, that does not vanish and disappear but remains firm in its place. Such a past enters into the domain of the present and link up with the future.</w:t>
      </w:r>
    </w:p>
    <w:p w:rsidR="00EC174A" w:rsidRDefault="00EC174A" w:rsidP="00B15848">
      <w:pPr>
        <w:rPr>
          <w:b/>
          <w:bCs/>
          <w:u w:val="single"/>
        </w:rPr>
      </w:pPr>
    </w:p>
    <w:p w:rsidR="005B056E" w:rsidRDefault="00C86ECD" w:rsidP="00B15848">
      <w:r>
        <w:rPr>
          <w:b/>
          <w:bCs/>
          <w:u w:val="single"/>
        </w:rPr>
        <w:t xml:space="preserve">8. </w:t>
      </w:r>
      <w:r w:rsidR="005B056E">
        <w:rPr>
          <w:b/>
          <w:bCs/>
          <w:u w:val="single"/>
        </w:rPr>
        <w:t>Sacred and Profane, page 15</w:t>
      </w:r>
    </w:p>
    <w:p w:rsidR="00EC174A" w:rsidRDefault="005B056E" w:rsidP="00EC174A">
      <w:r>
        <w:t xml:space="preserve">The man, however, who lives in qualitative </w:t>
      </w:r>
      <w:proofErr w:type="gramStart"/>
      <w:r>
        <w:t>time</w:t>
      </w:r>
      <w:proofErr w:type="gramEnd"/>
      <w:r>
        <w:t xml:space="preserve"> has a different criterion of the experience of time than the quantitative experience. He measures time not by length-</w:t>
      </w:r>
      <w:r w:rsidRPr="004058E1">
        <w:rPr>
          <w:i/>
          <w:iCs/>
        </w:rPr>
        <w:t>extensio</w:t>
      </w:r>
      <w:r>
        <w:t xml:space="preserve"> but by pure quality, creativity, and accomplishment.</w:t>
      </w:r>
    </w:p>
    <w:p w:rsidR="00A468F1" w:rsidRDefault="00A468F1" w:rsidP="00EC174A">
      <w:pPr>
        <w:rPr>
          <w:b/>
          <w:bCs/>
          <w:u w:val="single"/>
        </w:rPr>
      </w:pPr>
    </w:p>
    <w:p w:rsidR="00EC174A" w:rsidRDefault="00C86ECD" w:rsidP="00EC174A">
      <w:r>
        <w:rPr>
          <w:b/>
          <w:bCs/>
          <w:u w:val="single"/>
        </w:rPr>
        <w:t xml:space="preserve">9. </w:t>
      </w:r>
      <w:r w:rsidR="00B15848">
        <w:rPr>
          <w:b/>
          <w:bCs/>
          <w:u w:val="single"/>
        </w:rPr>
        <w:t xml:space="preserve">Halakhic Man page 115 </w:t>
      </w:r>
      <w:r w:rsidR="00EC174A">
        <w:rPr>
          <w:b/>
          <w:bCs/>
          <w:u w:val="single"/>
        </w:rPr>
        <w:t>–</w:t>
      </w:r>
      <w:r w:rsidR="00B15848">
        <w:t xml:space="preserve"> </w:t>
      </w:r>
    </w:p>
    <w:p w:rsidR="00B15848" w:rsidRPr="00A468F1" w:rsidRDefault="00EC174A" w:rsidP="00EC174A">
      <w:pPr>
        <w:rPr>
          <w:b/>
          <w:bCs/>
          <w:u w:val="single"/>
        </w:rPr>
      </w:pPr>
      <w:r>
        <w:t xml:space="preserve">The future imprints its stamp on the past and determines its image… The cause is interpreted by the effect, moment </w:t>
      </w:r>
      <w:r>
        <w:rPr>
          <w:i/>
          <w:iCs/>
        </w:rPr>
        <w:t xml:space="preserve">a </w:t>
      </w:r>
      <w:r>
        <w:t xml:space="preserve">by moment </w:t>
      </w:r>
      <w:r>
        <w:rPr>
          <w:i/>
          <w:iCs/>
        </w:rPr>
        <w:t>b</w:t>
      </w:r>
      <w:r>
        <w:t xml:space="preserve">. </w:t>
      </w:r>
      <w:r w:rsidRPr="00EC174A">
        <w:rPr>
          <w:b/>
          <w:bCs/>
          <w:u w:val="single"/>
        </w:rPr>
        <w:t>The past by itself is indeterminate, a closed book. It is only the present and the future that can pry it open and read its meaning</w:t>
      </w:r>
      <w:r>
        <w:rPr>
          <w:b/>
          <w:bCs/>
          <w:u w:val="single"/>
        </w:rPr>
        <w:t>.</w:t>
      </w:r>
      <w:r w:rsidRPr="00EC174A">
        <w:rPr>
          <w:b/>
          <w:bCs/>
        </w:rPr>
        <w:t xml:space="preserve"> </w:t>
      </w:r>
      <w:r>
        <w:t>T</w:t>
      </w:r>
      <w:r>
        <w:rPr>
          <w:lang w:val="en"/>
        </w:rPr>
        <w:t>here</w:t>
      </w:r>
      <w:r w:rsidR="00B15848">
        <w:rPr>
          <w:lang w:val="en"/>
        </w:rPr>
        <w:t xml:space="preserve"> are many different paths, according to this perspective, along which the </w:t>
      </w:r>
      <w:r w:rsidR="00B15848">
        <w:rPr>
          <w:lang w:val="en"/>
        </w:rPr>
        <w:lastRenderedPageBreak/>
        <w:t>cause can travel. It is the future that determines it</w:t>
      </w:r>
      <w:r>
        <w:rPr>
          <w:lang w:val="en"/>
        </w:rPr>
        <w:t>s direction and points the way</w:t>
      </w:r>
      <w:r w:rsidR="00A468F1">
        <w:rPr>
          <w:lang w:val="en"/>
        </w:rPr>
        <w:t xml:space="preserve">… </w:t>
      </w:r>
      <w:r w:rsidR="00A468F1">
        <w:rPr>
          <w:b/>
          <w:bCs/>
          <w:u w:val="single"/>
          <w:lang w:val="en"/>
        </w:rPr>
        <w:t>The main principle of repentance is that the future dominate the past and there reign over it in unbounded fashion.</w:t>
      </w:r>
      <w:r w:rsidR="00A468F1" w:rsidRPr="00A468F1">
        <w:rPr>
          <w:lang w:val="en"/>
        </w:rPr>
        <w:t xml:space="preserve"> Sin, as a cause and as the beginning of a lengthy causal chain of destruction can be transformed, underneath the guiding hand of the future into a source of merit and good deeds, into love and fear of God. The cause is located in the past, but the direction of its development is determined by the future.</w:t>
      </w:r>
    </w:p>
    <w:p w:rsidR="00B15848" w:rsidRDefault="00B15848" w:rsidP="00B15848">
      <w:pPr>
        <w:rPr>
          <w:lang w:val="en"/>
        </w:rPr>
      </w:pPr>
    </w:p>
    <w:p w:rsidR="00643364" w:rsidRPr="00643364" w:rsidRDefault="00643364" w:rsidP="00643364">
      <w:pPr>
        <w:pStyle w:val="ListParagraph"/>
        <w:numPr>
          <w:ilvl w:val="0"/>
          <w:numId w:val="2"/>
        </w:numPr>
        <w:jc w:val="center"/>
        <w:rPr>
          <w:b/>
          <w:bCs/>
          <w:lang w:val="en"/>
        </w:rPr>
      </w:pPr>
      <w:r w:rsidRPr="00643364">
        <w:rPr>
          <w:b/>
          <w:bCs/>
          <w:lang w:val="en"/>
        </w:rPr>
        <w:t>The Rule of Contrast</w:t>
      </w:r>
    </w:p>
    <w:p w:rsidR="000A32A6" w:rsidRDefault="000A32A6" w:rsidP="00B15848">
      <w:pPr>
        <w:rPr>
          <w:lang w:val="en"/>
        </w:rPr>
      </w:pPr>
    </w:p>
    <w:p w:rsidR="000C4F39" w:rsidRPr="000C4F39" w:rsidRDefault="00C86ECD" w:rsidP="00B15848">
      <w:pPr>
        <w:rPr>
          <w:rFonts w:hint="cs"/>
          <w:b/>
          <w:bCs/>
          <w:u w:val="single"/>
          <w:rtl/>
          <w:lang w:val="en"/>
        </w:rPr>
      </w:pPr>
      <w:r>
        <w:rPr>
          <w:b/>
          <w:bCs/>
          <w:u w:val="single"/>
          <w:lang w:val="en"/>
        </w:rPr>
        <w:t xml:space="preserve">10. </w:t>
      </w:r>
      <w:proofErr w:type="gramStart"/>
      <w:r w:rsidR="000C4F39" w:rsidRPr="000C4F39">
        <w:rPr>
          <w:b/>
          <w:bCs/>
          <w:u w:val="single"/>
          <w:lang w:val="en"/>
        </w:rPr>
        <w:t>On</w:t>
      </w:r>
      <w:proofErr w:type="gramEnd"/>
      <w:r w:rsidR="000C4F39" w:rsidRPr="000C4F39">
        <w:rPr>
          <w:b/>
          <w:bCs/>
          <w:u w:val="single"/>
          <w:lang w:val="en"/>
        </w:rPr>
        <w:t xml:space="preserve"> Repentance – Blotting Out of Elevating Sin</w:t>
      </w:r>
    </w:p>
    <w:p w:rsidR="00D96C93" w:rsidRDefault="00D96C93" w:rsidP="000C4F39">
      <w:r>
        <w:t>There seems to be a tragic flaw inherent in the nature of man from which no one can escape. The people and things that we love and cherish most are not fully appreciated as long</w:t>
      </w:r>
      <w:r w:rsidR="000C4F39">
        <w:t xml:space="preserve"> a</w:t>
      </w:r>
      <w:r>
        <w:t xml:space="preserve">s they are alive and present with us. </w:t>
      </w:r>
      <w:r w:rsidR="000C4F39">
        <w:t>We realize what they meant to us only after they are gone… How many near and dear ones did we have whom we did not succeed in appreciating fully, as long as they were with us: mother, father, teacher, wife or husband?</w:t>
      </w:r>
    </w:p>
    <w:p w:rsidR="000C4F39" w:rsidRDefault="000C4F39" w:rsidP="000C4F39"/>
    <w:p w:rsidR="000C4F39" w:rsidRPr="000C4F39" w:rsidRDefault="000C4F39" w:rsidP="000C4F39">
      <w:r>
        <w:t xml:space="preserve">The penitent one who does </w:t>
      </w:r>
      <w:r>
        <w:rPr>
          <w:i/>
          <w:iCs/>
        </w:rPr>
        <w:t xml:space="preserve">teshuva </w:t>
      </w:r>
      <w:r>
        <w:t xml:space="preserve">undergoes a similar experience. When a Jew sins, he banishes the Holy One, blessed be He, from his presence… Then </w:t>
      </w:r>
      <w:proofErr w:type="gramStart"/>
      <w:r>
        <w:t>comes</w:t>
      </w:r>
      <w:proofErr w:type="gramEnd"/>
      <w:r>
        <w:t xml:space="preserve"> the fear and loneliness, the estrangement and alienation. The emptiness of life becomes devastating and a deep sadness clutches at the soul.</w:t>
      </w:r>
    </w:p>
    <w:p w:rsidR="000C4F39" w:rsidRDefault="000C4F39" w:rsidP="00B15848">
      <w:pPr>
        <w:rPr>
          <w:b/>
          <w:bCs/>
          <w:u w:val="single"/>
        </w:rPr>
      </w:pPr>
    </w:p>
    <w:p w:rsidR="00B15848" w:rsidRPr="006F2435" w:rsidRDefault="00B15848" w:rsidP="00B15848">
      <w:r w:rsidRPr="006F2435">
        <w:t xml:space="preserve">The intensity of sin and the sense of guilt and shame that overwhelms man in its wake are such strong drives that they impel the penitent upwards and outwards in the direction of the Creator of the universe. The years of sin are transformed into powerful impulsive forces which propel the sinner towards God. Sin is not to be forgotten, blotted out or cast into the depths of the sea. On the contrary, sin has to be remembered. It is the memory of sin that releases the power within the inner depths of the soul of the penitent to do greater things than ever before. The energy of sin can be used to bring one to new heights. </w:t>
      </w:r>
    </w:p>
    <w:p w:rsidR="00510A5F" w:rsidRDefault="00510A5F" w:rsidP="000C4F39"/>
    <w:p w:rsidR="00D52991" w:rsidRPr="00B15848" w:rsidRDefault="006E2E45" w:rsidP="00D52991">
      <w:pPr>
        <w:rPr>
          <w:b/>
          <w:bCs/>
          <w:u w:val="single"/>
        </w:rPr>
      </w:pPr>
      <w:r>
        <w:rPr>
          <w:b/>
          <w:bCs/>
          <w:u w:val="single"/>
        </w:rPr>
        <w:t xml:space="preserve">11. </w:t>
      </w:r>
      <w:r w:rsidR="00D52991" w:rsidRPr="00B15848">
        <w:rPr>
          <w:b/>
          <w:bCs/>
          <w:u w:val="single"/>
        </w:rPr>
        <w:t>Sacred and Profane</w:t>
      </w:r>
      <w:r w:rsidR="000C4F39">
        <w:rPr>
          <w:b/>
          <w:bCs/>
          <w:u w:val="single"/>
        </w:rPr>
        <w:t>,</w:t>
      </w:r>
      <w:r w:rsidR="00D52991" w:rsidRPr="00B15848">
        <w:rPr>
          <w:b/>
          <w:bCs/>
          <w:u w:val="single"/>
        </w:rPr>
        <w:t xml:space="preserve"> </w:t>
      </w:r>
      <w:r w:rsidR="000C4F39">
        <w:rPr>
          <w:b/>
          <w:bCs/>
          <w:u w:val="single"/>
        </w:rPr>
        <w:t xml:space="preserve">page </w:t>
      </w:r>
      <w:r w:rsidR="00D52991" w:rsidRPr="00B15848">
        <w:rPr>
          <w:b/>
          <w:bCs/>
          <w:u w:val="single"/>
        </w:rPr>
        <w:t>28</w:t>
      </w:r>
    </w:p>
    <w:p w:rsidR="00D52991" w:rsidRDefault="00D52991" w:rsidP="000C4F39">
      <w:r>
        <w:t xml:space="preserve">In the biographies of great men we frequently encounter the fact that certain personages rose to tremendous heights because of a prior rapid descent. They transposed misdeeds into springboards of a heroic life and lofty ideas… Ascent presupposes descent, </w:t>
      </w:r>
      <w:r>
        <w:rPr>
          <w:rFonts w:hint="cs"/>
          <w:rtl/>
        </w:rPr>
        <w:t>ירידה לצורך עליה</w:t>
      </w:r>
      <w:r>
        <w:t xml:space="preserve"> [d</w:t>
      </w:r>
      <w:r w:rsidR="004058E1">
        <w:t>escent for the sake of ascent].</w:t>
      </w:r>
    </w:p>
    <w:p w:rsidR="00D52991" w:rsidRDefault="00D52991" w:rsidP="00D52991">
      <w:pPr>
        <w:bidi/>
      </w:pPr>
    </w:p>
    <w:p w:rsidR="00F13DE8" w:rsidRPr="00F13DE8" w:rsidRDefault="006E2E45" w:rsidP="00F13DE8">
      <w:pPr>
        <w:bidi/>
        <w:rPr>
          <w:rFonts w:hint="cs"/>
          <w:b/>
          <w:bCs/>
          <w:u w:val="single"/>
          <w:rtl/>
        </w:rPr>
      </w:pPr>
      <w:r>
        <w:rPr>
          <w:rFonts w:hint="cs"/>
          <w:b/>
          <w:bCs/>
          <w:u w:val="single"/>
          <w:rtl/>
        </w:rPr>
        <w:t xml:space="preserve">12. </w:t>
      </w:r>
      <w:r w:rsidR="00F13DE8" w:rsidRPr="00F13DE8">
        <w:rPr>
          <w:rFonts w:hint="cs"/>
          <w:b/>
          <w:bCs/>
          <w:u w:val="single"/>
          <w:rtl/>
        </w:rPr>
        <w:t>תהילים פרק נא פסוק ה</w:t>
      </w:r>
    </w:p>
    <w:p w:rsidR="00F13DE8" w:rsidRDefault="00F13DE8" w:rsidP="00F13DE8">
      <w:pPr>
        <w:bidi/>
      </w:pPr>
      <w:r>
        <w:rPr>
          <w:rFonts w:hint="cs"/>
          <w:rtl/>
        </w:rPr>
        <w:t>...</w:t>
      </w:r>
      <w:r>
        <w:rPr>
          <w:rtl/>
        </w:rPr>
        <w:t>וְחַטָּאתִי נֶגְדִּי תָמִיד:</w:t>
      </w:r>
    </w:p>
    <w:p w:rsidR="00F13DE8" w:rsidRDefault="00F13DE8" w:rsidP="00F13DE8">
      <w:pPr>
        <w:bidi/>
      </w:pPr>
    </w:p>
    <w:p w:rsidR="00F13DE8" w:rsidRPr="00F13DE8" w:rsidRDefault="006E2E45" w:rsidP="00F13DE8">
      <w:pPr>
        <w:bidi/>
        <w:rPr>
          <w:b/>
          <w:bCs/>
          <w:u w:val="single"/>
        </w:rPr>
      </w:pPr>
      <w:r>
        <w:rPr>
          <w:rFonts w:hint="cs"/>
          <w:b/>
          <w:bCs/>
          <w:u w:val="single"/>
          <w:rtl/>
        </w:rPr>
        <w:t xml:space="preserve">13. </w:t>
      </w:r>
      <w:r w:rsidR="00F13DE8" w:rsidRPr="00F13DE8">
        <w:rPr>
          <w:b/>
          <w:bCs/>
          <w:u w:val="single"/>
          <w:rtl/>
        </w:rPr>
        <w:t xml:space="preserve">תלמוד בבלי מסכת יומא דף פו עמוד ב </w:t>
      </w:r>
    </w:p>
    <w:p w:rsidR="00F13DE8" w:rsidRDefault="00F13DE8" w:rsidP="00F13DE8">
      <w:pPr>
        <w:bidi/>
      </w:pPr>
      <w:r>
        <w:rPr>
          <w:rtl/>
        </w:rPr>
        <w:t>אמר רבי שמואל בר נחמני אמר רבי יונתן: גדולה תשובה שמארכת שנותיו של אדם, שנאמר ובשוב רשע מרשעתו</w:t>
      </w:r>
      <w:r>
        <w:rPr>
          <w:rtl/>
        </w:rPr>
        <w:t xml:space="preserve"> הוא</w:t>
      </w:r>
      <w:r>
        <w:rPr>
          <w:rtl/>
        </w:rPr>
        <w:t xml:space="preserve"> יחיה.</w:t>
      </w:r>
    </w:p>
    <w:p w:rsidR="00F13DE8" w:rsidRPr="00F13DE8" w:rsidRDefault="00F13DE8" w:rsidP="00F13DE8">
      <w:pPr>
        <w:bidi/>
        <w:rPr>
          <w:b/>
          <w:bCs/>
          <w:u w:val="single"/>
        </w:rPr>
      </w:pPr>
      <w:r w:rsidRPr="00F13DE8">
        <w:rPr>
          <w:b/>
          <w:bCs/>
          <w:u w:val="single"/>
          <w:rtl/>
        </w:rPr>
        <w:t xml:space="preserve">יחזקאל פרק יח פסוק כז </w:t>
      </w:r>
    </w:p>
    <w:p w:rsidR="00F13DE8" w:rsidRPr="00F13DE8" w:rsidRDefault="00F13DE8" w:rsidP="00F13DE8">
      <w:pPr>
        <w:bidi/>
      </w:pPr>
      <w:r w:rsidRPr="00F13DE8">
        <w:rPr>
          <w:rtl/>
        </w:rPr>
        <w:t>וּבְשׁ֣וּב רָשָׁ֗ע מֵֽרִשְׁעָתוֹ֙ אֲשֶׁ֣ר עָשָׂ֔ה וַיַּ֥עַשׂ מִשְׁפָּ֖ט וּצְדָקָ֑ה ה֖וּא אֶת־נַפְשׁ֥וֹ יְחַיֶּֽה:</w:t>
      </w:r>
    </w:p>
    <w:p w:rsidR="00F13DE8" w:rsidRDefault="00F13DE8" w:rsidP="00F13DE8">
      <w:pPr>
        <w:bidi/>
        <w:rPr>
          <w:b/>
          <w:bCs/>
          <w:u w:val="single"/>
        </w:rPr>
      </w:pPr>
    </w:p>
    <w:p w:rsidR="006E2E45" w:rsidRDefault="006E2E45" w:rsidP="00F13DE8">
      <w:pPr>
        <w:bidi/>
        <w:rPr>
          <w:rFonts w:hint="cs"/>
          <w:b/>
          <w:bCs/>
          <w:u w:val="single"/>
          <w:rtl/>
        </w:rPr>
      </w:pPr>
    </w:p>
    <w:p w:rsidR="006E2E45" w:rsidRDefault="006E2E45" w:rsidP="006E2E45">
      <w:pPr>
        <w:bidi/>
        <w:rPr>
          <w:rFonts w:hint="cs"/>
          <w:b/>
          <w:bCs/>
          <w:u w:val="single"/>
          <w:rtl/>
        </w:rPr>
      </w:pPr>
    </w:p>
    <w:p w:rsidR="004C1BA8" w:rsidRPr="004C1BA8" w:rsidRDefault="006E2E45" w:rsidP="006E2E45">
      <w:pPr>
        <w:bidi/>
        <w:rPr>
          <w:b/>
          <w:bCs/>
          <w:u w:val="single"/>
        </w:rPr>
      </w:pPr>
      <w:r>
        <w:rPr>
          <w:rFonts w:hint="cs"/>
          <w:b/>
          <w:bCs/>
          <w:u w:val="single"/>
          <w:rtl/>
        </w:rPr>
        <w:lastRenderedPageBreak/>
        <w:t xml:space="preserve">14. </w:t>
      </w:r>
      <w:r w:rsidR="004C1BA8" w:rsidRPr="004C1BA8">
        <w:rPr>
          <w:b/>
          <w:bCs/>
          <w:u w:val="single"/>
          <w:rtl/>
        </w:rPr>
        <w:t xml:space="preserve">תלמוד בבלי מסכת בבא מציעא דף פד עמוד א </w:t>
      </w:r>
    </w:p>
    <w:p w:rsidR="004C1BA8" w:rsidRDefault="004C1BA8" w:rsidP="004C1BA8">
      <w:pPr>
        <w:bidi/>
      </w:pPr>
      <w:r>
        <w:rPr>
          <w:rtl/>
        </w:rPr>
        <w:t xml:space="preserve">יומא חד הוה קא סחי רבי יוחנן בירדנא, חזייה </w:t>
      </w:r>
      <w:r w:rsidRPr="004058E1">
        <w:rPr>
          <w:b/>
          <w:bCs/>
          <w:rtl/>
        </w:rPr>
        <w:t>ריש לקיש</w:t>
      </w:r>
      <w:r>
        <w:rPr>
          <w:rtl/>
        </w:rPr>
        <w:t xml:space="preserve"> ושוור לירדנא אבתריה, אמר ליה: חילך לאורייתא! - אמר ליה: שופרך לנשי! - אמר ליה: אי הדרת בך - יהיבנא לך אחותי, דשפירא מינאי. קביל עליה.</w:t>
      </w:r>
    </w:p>
    <w:p w:rsidR="004C1BA8" w:rsidRPr="004C1BA8" w:rsidRDefault="004C1BA8" w:rsidP="004C1BA8">
      <w:pPr>
        <w:bidi/>
        <w:rPr>
          <w:b/>
          <w:bCs/>
          <w:u w:val="single"/>
        </w:rPr>
      </w:pPr>
      <w:r w:rsidRPr="004C1BA8">
        <w:rPr>
          <w:b/>
          <w:bCs/>
          <w:u w:val="single"/>
          <w:rtl/>
        </w:rPr>
        <w:t xml:space="preserve">תוספות מסכת בבא מציעא דף פד עמוד א </w:t>
      </w:r>
    </w:p>
    <w:p w:rsidR="00C72535" w:rsidRDefault="004C1BA8" w:rsidP="004C1BA8">
      <w:pPr>
        <w:bidi/>
      </w:pPr>
      <w:r>
        <w:rPr>
          <w:rtl/>
        </w:rPr>
        <w:t>אי הדרת בך כו' - מכאן אמר ר"ת דר"ל מתחלה ידע הרבה אלא שפרק עול תורה ונעשה עם הארץ ועסק בלסטיות מדקאמר אי הדרת בך</w:t>
      </w:r>
      <w:r w:rsidR="004058E1">
        <w:t>.</w:t>
      </w:r>
    </w:p>
    <w:p w:rsidR="00D52991" w:rsidRDefault="00D52991" w:rsidP="004058E1">
      <w:pPr>
        <w:bidi/>
      </w:pPr>
    </w:p>
    <w:sectPr w:rsidR="00D52991" w:rsidSect="000A32A6">
      <w:footerReference w:type="default" r:id="rId10"/>
      <w:headerReference w:type="first" r:id="rId11"/>
      <w:pgSz w:w="12240" w:h="15840"/>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80" w:rsidRDefault="00B12E80" w:rsidP="000A32A6">
      <w:r>
        <w:separator/>
      </w:r>
    </w:p>
  </w:endnote>
  <w:endnote w:type="continuationSeparator" w:id="0">
    <w:p w:rsidR="00B12E80" w:rsidRDefault="00B12E80" w:rsidP="000A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5598"/>
      <w:docPartObj>
        <w:docPartGallery w:val="Page Numbers (Bottom of Page)"/>
        <w:docPartUnique/>
      </w:docPartObj>
    </w:sdtPr>
    <w:sdtEndPr/>
    <w:sdtContent>
      <w:p w:rsidR="000A32A6" w:rsidRDefault="000A32A6">
        <w:pPr>
          <w:pStyle w:val="Footer"/>
          <w:jc w:val="center"/>
        </w:pPr>
        <w:r>
          <w:rPr>
            <w:noProof/>
          </w:rPr>
          <mc:AlternateContent>
            <mc:Choice Requires="wpg">
              <w:drawing>
                <wp:inline distT="0" distB="0" distL="0" distR="0" wp14:anchorId="3FCE4D1B" wp14:editId="6870EC82">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2A6" w:rsidRDefault="000A32A6">
                                <w:pPr>
                                  <w:jc w:val="center"/>
                                  <w:rPr>
                                    <w:szCs w:val="18"/>
                                  </w:rPr>
                                </w:pPr>
                                <w:r>
                                  <w:rPr>
                                    <w:sz w:val="22"/>
                                    <w:szCs w:val="22"/>
                                  </w:rPr>
                                  <w:fldChar w:fldCharType="begin"/>
                                </w:r>
                                <w:r>
                                  <w:instrText xml:space="preserve"> PAGE    \* MERGEFORMAT </w:instrText>
                                </w:r>
                                <w:r>
                                  <w:rPr>
                                    <w:sz w:val="22"/>
                                    <w:szCs w:val="22"/>
                                  </w:rPr>
                                  <w:fldChar w:fldCharType="separate"/>
                                </w:r>
                                <w:r w:rsidR="005D6A65" w:rsidRPr="005D6A65">
                                  <w:rPr>
                                    <w:i/>
                                    <w:iCs/>
                                    <w:noProof/>
                                    <w:sz w:val="18"/>
                                    <w:szCs w:val="18"/>
                                  </w:rPr>
                                  <w:t>2</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0A32A6" w:rsidRDefault="000A32A6">
                          <w:pPr>
                            <w:jc w:val="center"/>
                            <w:rPr>
                              <w:szCs w:val="18"/>
                            </w:rPr>
                          </w:pPr>
                          <w:r>
                            <w:rPr>
                              <w:sz w:val="22"/>
                              <w:szCs w:val="22"/>
                            </w:rPr>
                            <w:fldChar w:fldCharType="begin"/>
                          </w:r>
                          <w:r>
                            <w:instrText xml:space="preserve"> PAGE    \* MERGEFORMAT </w:instrText>
                          </w:r>
                          <w:r>
                            <w:rPr>
                              <w:sz w:val="22"/>
                              <w:szCs w:val="22"/>
                            </w:rPr>
                            <w:fldChar w:fldCharType="separate"/>
                          </w:r>
                          <w:r w:rsidR="005D6A65" w:rsidRPr="005D6A65">
                            <w:rPr>
                              <w:i/>
                              <w:iCs/>
                              <w:noProof/>
                              <w:sz w:val="18"/>
                              <w:szCs w:val="18"/>
                            </w:rPr>
                            <w:t>2</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0A32A6" w:rsidRDefault="000A32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80" w:rsidRDefault="00B12E80" w:rsidP="000A32A6">
      <w:r>
        <w:separator/>
      </w:r>
    </w:p>
  </w:footnote>
  <w:footnote w:type="continuationSeparator" w:id="0">
    <w:p w:rsidR="00B12E80" w:rsidRDefault="00B12E80" w:rsidP="000A3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2A6" w:rsidRPr="000A32A6" w:rsidRDefault="000A32A6" w:rsidP="000A32A6">
    <w:pPr>
      <w:pStyle w:val="Header"/>
      <w:rPr>
        <w:rFonts w:ascii="Vijaya" w:hAnsi="Vijaya" w:cs="Vijaya"/>
        <w:sz w:val="20"/>
        <w:szCs w:val="20"/>
      </w:rPr>
    </w:pPr>
    <w:r w:rsidRPr="000A32A6">
      <w:rPr>
        <w:rFonts w:ascii="Vijaya" w:hAnsi="Vijaya" w:cs="Vijaya"/>
        <w:sz w:val="20"/>
        <w:szCs w:val="20"/>
      </w:rPr>
      <w:tab/>
    </w:r>
    <w:r w:rsidRPr="000A32A6">
      <w:rPr>
        <w:rFonts w:ascii="Vijaya" w:hAnsi="Vijaya" w:cs="Vijaya"/>
        <w:sz w:val="20"/>
        <w:szCs w:val="20"/>
      </w:rPr>
      <w:tab/>
      <w:t xml:space="preserve">R. </w:t>
    </w:r>
    <w:proofErr w:type="spellStart"/>
    <w:r w:rsidRPr="000A32A6">
      <w:rPr>
        <w:rFonts w:ascii="Vijaya" w:hAnsi="Vijaya" w:cs="Vijaya"/>
        <w:sz w:val="20"/>
        <w:szCs w:val="20"/>
      </w:rPr>
      <w:t>Yakov</w:t>
    </w:r>
    <w:proofErr w:type="spellEnd"/>
    <w:r w:rsidRPr="000A32A6">
      <w:rPr>
        <w:rFonts w:ascii="Vijaya" w:hAnsi="Vijaya" w:cs="Vijaya"/>
        <w:sz w:val="20"/>
        <w:szCs w:val="20"/>
      </w:rPr>
      <w:t xml:space="preserve"> </w:t>
    </w:r>
    <w:proofErr w:type="spellStart"/>
    <w:r w:rsidRPr="000A32A6">
      <w:rPr>
        <w:rFonts w:ascii="Vijaya" w:hAnsi="Vijaya" w:cs="Vijaya"/>
        <w:sz w:val="20"/>
        <w:szCs w:val="20"/>
      </w:rPr>
      <w:t>Danishefsky</w:t>
    </w:r>
    <w:proofErr w:type="spellEnd"/>
  </w:p>
  <w:p w:rsidR="000A32A6" w:rsidRPr="000A32A6" w:rsidRDefault="000A32A6" w:rsidP="000A32A6">
    <w:pPr>
      <w:pStyle w:val="Header"/>
      <w:rPr>
        <w:rFonts w:ascii="Vijaya" w:hAnsi="Vijaya" w:cs="Vijaya"/>
        <w:sz w:val="20"/>
        <w:szCs w:val="20"/>
      </w:rPr>
    </w:pPr>
    <w:r w:rsidRPr="000A32A6">
      <w:rPr>
        <w:rFonts w:ascii="Vijaya" w:hAnsi="Vijaya" w:cs="Vijaya"/>
        <w:sz w:val="20"/>
        <w:szCs w:val="20"/>
      </w:rPr>
      <w:tab/>
    </w:r>
    <w:r w:rsidRPr="000A32A6">
      <w:rPr>
        <w:rFonts w:ascii="Vijaya" w:hAnsi="Vijaya" w:cs="Vijaya"/>
        <w:sz w:val="20"/>
        <w:szCs w:val="20"/>
      </w:rPr>
      <w:tab/>
      <w:t>Cong. Or Torah</w:t>
    </w:r>
  </w:p>
  <w:p w:rsidR="000A32A6" w:rsidRDefault="000A32A6" w:rsidP="000A32A6">
    <w:pPr>
      <w:pStyle w:val="Header"/>
    </w:pPr>
    <w:r w:rsidRPr="000A32A6">
      <w:rPr>
        <w:rFonts w:ascii="Vijaya" w:hAnsi="Vijaya" w:cs="Vijaya"/>
        <w:sz w:val="20"/>
        <w:szCs w:val="20"/>
      </w:rPr>
      <w:tab/>
    </w:r>
    <w:r w:rsidRPr="000A32A6">
      <w:rPr>
        <w:rFonts w:ascii="Vijaya" w:hAnsi="Vijaya" w:cs="Vijaya"/>
        <w:sz w:val="20"/>
        <w:szCs w:val="20"/>
      </w:rPr>
      <w:tab/>
    </w:r>
    <w:proofErr w:type="spellStart"/>
    <w:r w:rsidRPr="000A32A6">
      <w:rPr>
        <w:rFonts w:ascii="Vijaya" w:hAnsi="Vijaya" w:cs="Vijaya"/>
        <w:sz w:val="20"/>
        <w:szCs w:val="20"/>
      </w:rPr>
      <w:t>Asseret</w:t>
    </w:r>
    <w:proofErr w:type="spellEnd"/>
    <w:r w:rsidRPr="000A32A6">
      <w:rPr>
        <w:rFonts w:ascii="Vijaya" w:hAnsi="Vijaya" w:cs="Vijaya"/>
        <w:sz w:val="20"/>
        <w:szCs w:val="20"/>
      </w:rPr>
      <w:t xml:space="preserve"> </w:t>
    </w:r>
    <w:proofErr w:type="spellStart"/>
    <w:r w:rsidRPr="000A32A6">
      <w:rPr>
        <w:rFonts w:ascii="Vijaya" w:hAnsi="Vijaya" w:cs="Vijaya"/>
        <w:sz w:val="20"/>
        <w:szCs w:val="20"/>
      </w:rPr>
      <w:t>Yemei</w:t>
    </w:r>
    <w:proofErr w:type="spellEnd"/>
    <w:r w:rsidRPr="000A32A6">
      <w:rPr>
        <w:rFonts w:ascii="Vijaya" w:hAnsi="Vijaya" w:cs="Vijaya"/>
        <w:sz w:val="20"/>
        <w:szCs w:val="20"/>
      </w:rPr>
      <w:t xml:space="preserve"> Teshuva 5776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46D3D"/>
    <w:multiLevelType w:val="hybridMultilevel"/>
    <w:tmpl w:val="EB3604C8"/>
    <w:lvl w:ilvl="0" w:tplc="A81835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C44D71"/>
    <w:multiLevelType w:val="hybridMultilevel"/>
    <w:tmpl w:val="F92A5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BC"/>
    <w:rsid w:val="00034726"/>
    <w:rsid w:val="00065274"/>
    <w:rsid w:val="000A32A6"/>
    <w:rsid w:val="000B3DBB"/>
    <w:rsid w:val="000C4F39"/>
    <w:rsid w:val="00113416"/>
    <w:rsid w:val="00216111"/>
    <w:rsid w:val="0031558C"/>
    <w:rsid w:val="00351587"/>
    <w:rsid w:val="00363694"/>
    <w:rsid w:val="004058E1"/>
    <w:rsid w:val="004A6F0E"/>
    <w:rsid w:val="004C1BA8"/>
    <w:rsid w:val="004E5799"/>
    <w:rsid w:val="00510A5F"/>
    <w:rsid w:val="005341C8"/>
    <w:rsid w:val="005B056E"/>
    <w:rsid w:val="005D6A65"/>
    <w:rsid w:val="00643364"/>
    <w:rsid w:val="006C1E80"/>
    <w:rsid w:val="006E2E45"/>
    <w:rsid w:val="006E6517"/>
    <w:rsid w:val="006F2435"/>
    <w:rsid w:val="00755712"/>
    <w:rsid w:val="007864A4"/>
    <w:rsid w:val="00886007"/>
    <w:rsid w:val="008A6F23"/>
    <w:rsid w:val="00A468F1"/>
    <w:rsid w:val="00AA04D4"/>
    <w:rsid w:val="00B12E80"/>
    <w:rsid w:val="00B15848"/>
    <w:rsid w:val="00B17189"/>
    <w:rsid w:val="00B87A3D"/>
    <w:rsid w:val="00C17C86"/>
    <w:rsid w:val="00C72535"/>
    <w:rsid w:val="00C86ECD"/>
    <w:rsid w:val="00D20A8A"/>
    <w:rsid w:val="00D52991"/>
    <w:rsid w:val="00D63581"/>
    <w:rsid w:val="00D96C93"/>
    <w:rsid w:val="00E437DD"/>
    <w:rsid w:val="00E766CA"/>
    <w:rsid w:val="00E773B4"/>
    <w:rsid w:val="00EC174A"/>
    <w:rsid w:val="00F05EBC"/>
    <w:rsid w:val="00F117DF"/>
    <w:rsid w:val="00F13DE8"/>
    <w:rsid w:val="00F567E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91"/>
    <w:pPr>
      <w:ind w:left="720"/>
      <w:contextualSpacing/>
    </w:pPr>
  </w:style>
  <w:style w:type="paragraph" w:styleId="BalloonText">
    <w:name w:val="Balloon Text"/>
    <w:basedOn w:val="Normal"/>
    <w:link w:val="BalloonTextChar"/>
    <w:uiPriority w:val="99"/>
    <w:semiHidden/>
    <w:unhideWhenUsed/>
    <w:rsid w:val="00C17C86"/>
    <w:rPr>
      <w:rFonts w:ascii="Tahoma" w:hAnsi="Tahoma" w:cs="Tahoma"/>
      <w:sz w:val="16"/>
      <w:szCs w:val="16"/>
    </w:rPr>
  </w:style>
  <w:style w:type="character" w:customStyle="1" w:styleId="BalloonTextChar">
    <w:name w:val="Balloon Text Char"/>
    <w:basedOn w:val="DefaultParagraphFont"/>
    <w:link w:val="BalloonText"/>
    <w:uiPriority w:val="99"/>
    <w:semiHidden/>
    <w:rsid w:val="00C17C86"/>
    <w:rPr>
      <w:rFonts w:ascii="Tahoma" w:hAnsi="Tahoma" w:cs="Tahoma"/>
      <w:sz w:val="16"/>
      <w:szCs w:val="16"/>
    </w:rPr>
  </w:style>
  <w:style w:type="paragraph" w:styleId="Header">
    <w:name w:val="header"/>
    <w:basedOn w:val="Normal"/>
    <w:link w:val="HeaderChar"/>
    <w:uiPriority w:val="99"/>
    <w:unhideWhenUsed/>
    <w:rsid w:val="000A32A6"/>
    <w:pPr>
      <w:tabs>
        <w:tab w:val="center" w:pos="4320"/>
        <w:tab w:val="right" w:pos="8640"/>
      </w:tabs>
    </w:pPr>
  </w:style>
  <w:style w:type="character" w:customStyle="1" w:styleId="HeaderChar">
    <w:name w:val="Header Char"/>
    <w:basedOn w:val="DefaultParagraphFont"/>
    <w:link w:val="Header"/>
    <w:uiPriority w:val="99"/>
    <w:rsid w:val="000A32A6"/>
  </w:style>
  <w:style w:type="paragraph" w:styleId="Footer">
    <w:name w:val="footer"/>
    <w:basedOn w:val="Normal"/>
    <w:link w:val="FooterChar"/>
    <w:uiPriority w:val="99"/>
    <w:unhideWhenUsed/>
    <w:rsid w:val="000A32A6"/>
    <w:pPr>
      <w:tabs>
        <w:tab w:val="center" w:pos="4320"/>
        <w:tab w:val="right" w:pos="8640"/>
      </w:tabs>
    </w:pPr>
  </w:style>
  <w:style w:type="character" w:customStyle="1" w:styleId="FooterChar">
    <w:name w:val="Footer Char"/>
    <w:basedOn w:val="DefaultParagraphFont"/>
    <w:link w:val="Footer"/>
    <w:uiPriority w:val="99"/>
    <w:rsid w:val="000A3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91"/>
    <w:pPr>
      <w:ind w:left="720"/>
      <w:contextualSpacing/>
    </w:pPr>
  </w:style>
  <w:style w:type="paragraph" w:styleId="BalloonText">
    <w:name w:val="Balloon Text"/>
    <w:basedOn w:val="Normal"/>
    <w:link w:val="BalloonTextChar"/>
    <w:uiPriority w:val="99"/>
    <w:semiHidden/>
    <w:unhideWhenUsed/>
    <w:rsid w:val="00C17C86"/>
    <w:rPr>
      <w:rFonts w:ascii="Tahoma" w:hAnsi="Tahoma" w:cs="Tahoma"/>
      <w:sz w:val="16"/>
      <w:szCs w:val="16"/>
    </w:rPr>
  </w:style>
  <w:style w:type="character" w:customStyle="1" w:styleId="BalloonTextChar">
    <w:name w:val="Balloon Text Char"/>
    <w:basedOn w:val="DefaultParagraphFont"/>
    <w:link w:val="BalloonText"/>
    <w:uiPriority w:val="99"/>
    <w:semiHidden/>
    <w:rsid w:val="00C17C86"/>
    <w:rPr>
      <w:rFonts w:ascii="Tahoma" w:hAnsi="Tahoma" w:cs="Tahoma"/>
      <w:sz w:val="16"/>
      <w:szCs w:val="16"/>
    </w:rPr>
  </w:style>
  <w:style w:type="paragraph" w:styleId="Header">
    <w:name w:val="header"/>
    <w:basedOn w:val="Normal"/>
    <w:link w:val="HeaderChar"/>
    <w:uiPriority w:val="99"/>
    <w:unhideWhenUsed/>
    <w:rsid w:val="000A32A6"/>
    <w:pPr>
      <w:tabs>
        <w:tab w:val="center" w:pos="4320"/>
        <w:tab w:val="right" w:pos="8640"/>
      </w:tabs>
    </w:pPr>
  </w:style>
  <w:style w:type="character" w:customStyle="1" w:styleId="HeaderChar">
    <w:name w:val="Header Char"/>
    <w:basedOn w:val="DefaultParagraphFont"/>
    <w:link w:val="Header"/>
    <w:uiPriority w:val="99"/>
    <w:rsid w:val="000A32A6"/>
  </w:style>
  <w:style w:type="paragraph" w:styleId="Footer">
    <w:name w:val="footer"/>
    <w:basedOn w:val="Normal"/>
    <w:link w:val="FooterChar"/>
    <w:uiPriority w:val="99"/>
    <w:unhideWhenUsed/>
    <w:rsid w:val="000A32A6"/>
    <w:pPr>
      <w:tabs>
        <w:tab w:val="center" w:pos="4320"/>
        <w:tab w:val="right" w:pos="8640"/>
      </w:tabs>
    </w:pPr>
  </w:style>
  <w:style w:type="character" w:customStyle="1" w:styleId="FooterChar">
    <w:name w:val="Footer Char"/>
    <w:basedOn w:val="DefaultParagraphFont"/>
    <w:link w:val="Footer"/>
    <w:uiPriority w:val="99"/>
    <w:rsid w:val="000A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3BD8-EADC-4D56-8BA8-14DA821A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4</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dc:creator>
  <cp:lastModifiedBy>Yakov</cp:lastModifiedBy>
  <cp:revision>24</cp:revision>
  <dcterms:created xsi:type="dcterms:W3CDTF">2014-08-15T21:55:00Z</dcterms:created>
  <dcterms:modified xsi:type="dcterms:W3CDTF">2015-09-17T20:28:00Z</dcterms:modified>
</cp:coreProperties>
</file>