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B0E5" w14:textId="57016B53" w:rsidR="000C73B9" w:rsidRDefault="000C73B9" w:rsidP="000C73B9">
      <w:pPr>
        <w:bidi/>
        <w:ind w:left="720" w:hanging="360"/>
        <w:jc w:val="center"/>
        <w:rPr>
          <w:rFonts w:asciiTheme="majorBidi" w:hAnsiTheme="majorBidi" w:cstheme="majorBidi"/>
          <w:b/>
          <w:bCs/>
          <w:sz w:val="52"/>
          <w:szCs w:val="52"/>
          <w:u w:val="single"/>
        </w:rPr>
      </w:pPr>
      <w:r>
        <w:rPr>
          <w:rFonts w:asciiTheme="majorBidi" w:hAnsiTheme="majorBidi" w:cstheme="majorBidi"/>
          <w:b/>
          <w:bCs/>
          <w:sz w:val="52"/>
          <w:szCs w:val="52"/>
          <w:u w:val="single"/>
        </w:rPr>
        <w:t>When Industry Practice Contradicts Halacha</w:t>
      </w:r>
    </w:p>
    <w:p w14:paraId="6C7F2D69" w14:textId="77777777" w:rsidR="000C73B9" w:rsidRPr="000C73B9" w:rsidRDefault="000C73B9" w:rsidP="000C73B9">
      <w:pPr>
        <w:bidi/>
        <w:ind w:left="720" w:hanging="360"/>
        <w:jc w:val="center"/>
        <w:rPr>
          <w:rFonts w:asciiTheme="majorBidi" w:hAnsiTheme="majorBidi" w:cstheme="majorBidi"/>
          <w:b/>
          <w:bCs/>
          <w:sz w:val="52"/>
          <w:szCs w:val="52"/>
          <w:u w:val="single"/>
        </w:rPr>
      </w:pPr>
    </w:p>
    <w:p w14:paraId="75E3BA6F" w14:textId="7DCA033A" w:rsidR="00CE05AC" w:rsidRPr="00CE05AC" w:rsidRDefault="00CE05AC" w:rsidP="000C73B9">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שו"ת אגרות משה חושן משפט חלק א סימן עב</w:t>
      </w:r>
    </w:p>
    <w:p w14:paraId="485C1852" w14:textId="72C970CA" w:rsidR="004064AD" w:rsidRDefault="00CE05AC" w:rsidP="00CE05AC">
      <w:pPr>
        <w:pStyle w:val="ListParagraph"/>
        <w:bidi/>
        <w:rPr>
          <w:rFonts w:asciiTheme="majorBidi" w:hAnsiTheme="majorBidi" w:cs="Times New Roman"/>
        </w:rPr>
      </w:pPr>
      <w:r w:rsidRPr="00CE05AC">
        <w:rPr>
          <w:rFonts w:asciiTheme="majorBidi" w:hAnsiTheme="majorBidi" w:cs="Times New Roman"/>
          <w:rtl/>
        </w:rPr>
        <w:t>והגע עצמך דהא ברור ופשוט שכל אלו הדינים התלויין במנהג המדינה כגון בב"מ דף פ"ג מקום שנהגו שלא להשכים ושלא להעריב אינו רשאי לכופן ומקום שנהגו לזון יזון לספק במתיקה יספק וכגון בדף ק"ג /ב"מ/ במקבל שדה מחברו מקום שנהגו לקצור יקצור לעקור יעקור לחרוש אחריו יחרוש וכדומה א"צ שיעשה המנהג ע"פ חכמי תורה וגם אף לא ע"פ יהודים דוקא דאף שהנהיגו זה הנכרים כגון שהם רוב תושבי העיר נמי הוא מדין התורה בסתמא כפי המנהג דאדעתא דמנהג העיר נחשב כהתנו בסתמא. וכן הוא בעניני מכירה מה הוא בכלל המכר שאף שאיכא דינים קבועים בפרקי המכירה בב"ב מה הוא בכלל המכירה מפורש ברמב"ם ס"פ כ"ו ממכירה ובש"ע חו"מ סי' רי"ח סעי' י"ט דהוא רק במקום שאין מנהג אבל במקום שיש מנהג הולכין אחר המנהג והטעם שבסתמא הוא כהתנו שהוא כהמנהג ולכן אין חלוק מי הם שהנהיגו דאף אם הנכרים שהם רוב תושבי העיר הנהיגו, נידון בדין התורה בסתמא כהמנהג.</w:t>
      </w:r>
    </w:p>
    <w:p w14:paraId="34F8EBEC" w14:textId="4C7F7DFF" w:rsidR="00CE05AC" w:rsidRDefault="00CE05AC" w:rsidP="00CE05AC">
      <w:pPr>
        <w:pStyle w:val="ListParagraph"/>
        <w:bidi/>
        <w:rPr>
          <w:rFonts w:asciiTheme="majorBidi" w:hAnsiTheme="majorBidi" w:cs="Times New Roman"/>
        </w:rPr>
      </w:pPr>
    </w:p>
    <w:p w14:paraId="4B0851BE"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תלמוד בבלי מסכת בבא מציעא דף עד עמוד א</w:t>
      </w:r>
    </w:p>
    <w:p w14:paraId="5211817E" w14:textId="600A0666"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 xml:space="preserve">אמר רב פפי משמיה דרבא: האי סיטומתא קניא. למאי הלכתא? - רב חביבא אמר: למקניא ממש, רבנן אמרי: לקבולי עליה מי שפרע. והלכתא: לקבולי עליה מי שפרע. ובאתרא דנהיגו למקני ממש </w:t>
      </w:r>
      <w:r>
        <w:rPr>
          <w:rFonts w:asciiTheme="majorBidi" w:hAnsiTheme="majorBidi" w:cs="Times New Roman"/>
          <w:rtl/>
        </w:rPr>
        <w:t>–</w:t>
      </w:r>
      <w:r w:rsidRPr="00CE05AC">
        <w:rPr>
          <w:rFonts w:asciiTheme="majorBidi" w:hAnsiTheme="majorBidi" w:cs="Times New Roman"/>
          <w:rtl/>
        </w:rPr>
        <w:t xml:space="preserve"> קנו</w:t>
      </w:r>
    </w:p>
    <w:p w14:paraId="42853DC5" w14:textId="7BA462E0" w:rsidR="00CE05AC" w:rsidRDefault="00CE05AC" w:rsidP="00CE05AC">
      <w:pPr>
        <w:pStyle w:val="ListParagraph"/>
        <w:bidi/>
        <w:rPr>
          <w:rFonts w:asciiTheme="majorBidi" w:hAnsiTheme="majorBidi" w:cs="Times New Roman"/>
        </w:rPr>
      </w:pPr>
    </w:p>
    <w:p w14:paraId="4C4D4632"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רש"י מסכת בבא מציעא דף עד עמוד א</w:t>
      </w:r>
    </w:p>
    <w:p w14:paraId="4B8AC661" w14:textId="77777777" w:rsidR="00CE05AC" w:rsidRPr="00CE05AC" w:rsidRDefault="00CE05AC" w:rsidP="00CE05AC">
      <w:pPr>
        <w:pStyle w:val="ListParagraph"/>
        <w:bidi/>
        <w:rPr>
          <w:rFonts w:asciiTheme="majorBidi" w:hAnsiTheme="majorBidi" w:cstheme="majorBidi"/>
        </w:rPr>
      </w:pPr>
      <w:r w:rsidRPr="00CE05AC">
        <w:rPr>
          <w:rFonts w:asciiTheme="majorBidi" w:hAnsiTheme="majorBidi" w:cs="Times New Roman"/>
          <w:rtl/>
        </w:rPr>
        <w:t>סיטומתא - חותם שרושמין החנונים על החביות של יין, שלוקחין הרבה ביחד ומניחין אותו באוצר הבעלים, ומוליכין אותן אחת אחת למכור לחנות, ורושמין אותם לדעת שכל הרשומות נמכרות.</w:t>
      </w:r>
    </w:p>
    <w:p w14:paraId="6C7213D3" w14:textId="15230E1B"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ובאתרא כו' למיקני - שרגילין לרשום, על מנת שבדבר זה תהא קנויה לו - כאלו משך קני.</w:t>
      </w:r>
    </w:p>
    <w:p w14:paraId="7CE0DECC" w14:textId="59D032C4" w:rsidR="00CE05AC" w:rsidRDefault="00CE05AC" w:rsidP="00CE05AC">
      <w:pPr>
        <w:pStyle w:val="ListParagraph"/>
        <w:bidi/>
        <w:rPr>
          <w:rFonts w:asciiTheme="majorBidi" w:hAnsiTheme="majorBidi" w:cs="Times New Roman"/>
        </w:rPr>
      </w:pPr>
    </w:p>
    <w:p w14:paraId="51FEA4C5"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תלמוד ירושלמי (וילנא) מסכת בבא מציעא פרק ז</w:t>
      </w:r>
    </w:p>
    <w:p w14:paraId="23387062" w14:textId="63F9C248"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אמר רב הושעיה זאת אומרת המנהג מבטל את ההלכה</w:t>
      </w:r>
    </w:p>
    <w:p w14:paraId="7F9F251C" w14:textId="175FA507" w:rsidR="00CE05AC" w:rsidRDefault="00CE05AC" w:rsidP="00CE05AC">
      <w:pPr>
        <w:pStyle w:val="ListParagraph"/>
        <w:bidi/>
        <w:rPr>
          <w:rFonts w:asciiTheme="majorBidi" w:hAnsiTheme="majorBidi" w:cs="Times New Roman"/>
        </w:rPr>
      </w:pPr>
    </w:p>
    <w:p w14:paraId="3A345E47"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פני משה מסכת בבא מציעא פרק ז</w:t>
      </w:r>
    </w:p>
    <w:p w14:paraId="4B4AA8C7" w14:textId="596A2E08"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גמ' זאת אומרת. מדקתני אינו יכול לכופן משמע אפי' אומר שהתנה עמהם ע"מ להשכים ולהעריב והם מכחישין אותו אינו יכול לכופן ולתפוס שכרן לפי שאין המנהג כך ש"מ המנהג מבטל הלכה כדר' אימי לקמיה:</w:t>
      </w:r>
    </w:p>
    <w:p w14:paraId="5974D76D" w14:textId="7279475D" w:rsidR="00CE05AC" w:rsidRDefault="00CE05AC" w:rsidP="00CE05AC">
      <w:pPr>
        <w:pStyle w:val="ListParagraph"/>
        <w:bidi/>
        <w:rPr>
          <w:rFonts w:asciiTheme="majorBidi" w:hAnsiTheme="majorBidi" w:cs="Times New Roman"/>
        </w:rPr>
      </w:pPr>
    </w:p>
    <w:p w14:paraId="6F8D2483"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תלמוד ירושלמי (וילנא) מסכת יבמות פרק יב</w:t>
      </w:r>
    </w:p>
    <w:p w14:paraId="31B3A1AA" w14:textId="7B3BFA9C"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ר' בא רב יהודה בשם רב אם יבא אליהו ויאמר שחולצין במנעל שומעין לו. שאין חולצין בסנדל אין שומעין לו. שהרי הרבים נהגו לחלוץ בסנדל. והמנהג מבטל את ההלכה</w:t>
      </w:r>
    </w:p>
    <w:p w14:paraId="470A1AE6" w14:textId="69B6B681" w:rsidR="00CE05AC" w:rsidRDefault="00CE05AC" w:rsidP="00CE05AC">
      <w:pPr>
        <w:pStyle w:val="ListParagraph"/>
        <w:bidi/>
        <w:rPr>
          <w:rFonts w:asciiTheme="majorBidi" w:hAnsiTheme="majorBidi" w:cs="Times New Roman"/>
        </w:rPr>
      </w:pPr>
    </w:p>
    <w:p w14:paraId="1E0782C6"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t>שולחן ערוך חושן משפט הלכות אונאה ומקח טעות סימן רלב</w:t>
      </w:r>
    </w:p>
    <w:p w14:paraId="2184619C" w14:textId="38CA3A9B"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 xml:space="preserve"> המוכר י'{ בהמה לחבירו י) לטבחה, (א) ושחטה ונמצאת טרפה, אם נודע בודאי שהיתה טריפה כשלקחה, כגון שנקבו בית הכוסות והוגלד פי המכה }כג{ שאז ידוע שיש לו שלשה ימים שניקב, אם קנאה [ד] תוך שלשה ימים, &lt;ו&gt; הוי מקח טעות וצריך להחזיר הדמים. ואם לא קנאה תוך ג' ימים, או שקנאה תוך ג' ימים ולא הוגלד פי המכה, דאז הוי יא'{ ספק אם ניקב תוך ג' אם לאו, על הלוקח להביא ראיה, יא) }כד{ ואם לא, יפסיד ויתן הדמים }כה{ אם הם עדיין בידו.</w:t>
      </w:r>
    </w:p>
    <w:p w14:paraId="41371716" w14:textId="3A61BCC5" w:rsidR="00CE05AC" w:rsidRDefault="00CE05AC" w:rsidP="00CE05AC">
      <w:pPr>
        <w:pStyle w:val="ListParagraph"/>
        <w:bidi/>
        <w:rPr>
          <w:rFonts w:asciiTheme="majorBidi" w:hAnsiTheme="majorBidi" w:cs="Times New Roman"/>
        </w:rPr>
      </w:pPr>
    </w:p>
    <w:p w14:paraId="52939C7E" w14:textId="03E78031" w:rsidR="00C73D79" w:rsidRDefault="00C73D79" w:rsidP="00C73D79">
      <w:pPr>
        <w:pStyle w:val="ListParagraph"/>
        <w:bidi/>
        <w:rPr>
          <w:rFonts w:asciiTheme="majorBidi" w:hAnsiTheme="majorBidi" w:cs="Times New Roman"/>
        </w:rPr>
      </w:pPr>
    </w:p>
    <w:p w14:paraId="632D9949" w14:textId="675E7C47" w:rsidR="00C73D79" w:rsidRDefault="00C73D79" w:rsidP="00C73D79">
      <w:pPr>
        <w:pStyle w:val="ListParagraph"/>
        <w:bidi/>
        <w:rPr>
          <w:rFonts w:asciiTheme="majorBidi" w:hAnsiTheme="majorBidi" w:cs="Times New Roman"/>
        </w:rPr>
      </w:pPr>
    </w:p>
    <w:p w14:paraId="2ED2AC2D" w14:textId="77777777" w:rsidR="00C73D79" w:rsidRDefault="00C73D79" w:rsidP="00C73D79">
      <w:pPr>
        <w:pStyle w:val="ListParagraph"/>
        <w:bidi/>
        <w:rPr>
          <w:rFonts w:asciiTheme="majorBidi" w:hAnsiTheme="majorBidi" w:cs="Times New Roman"/>
        </w:rPr>
      </w:pPr>
    </w:p>
    <w:p w14:paraId="1208025C" w14:textId="77777777" w:rsidR="00CE05AC" w:rsidRPr="00CE05AC" w:rsidRDefault="00CE05AC" w:rsidP="00CE05AC">
      <w:pPr>
        <w:pStyle w:val="ListParagraph"/>
        <w:numPr>
          <w:ilvl w:val="0"/>
          <w:numId w:val="1"/>
        </w:numPr>
        <w:bidi/>
        <w:rPr>
          <w:rFonts w:asciiTheme="majorBidi" w:hAnsiTheme="majorBidi" w:cstheme="majorBidi"/>
          <w:b/>
          <w:bCs/>
          <w:u w:val="single"/>
        </w:rPr>
      </w:pPr>
      <w:r w:rsidRPr="00CE05AC">
        <w:rPr>
          <w:rFonts w:asciiTheme="majorBidi" w:hAnsiTheme="majorBidi" w:cs="Times New Roman"/>
          <w:b/>
          <w:bCs/>
          <w:u w:val="single"/>
          <w:rtl/>
        </w:rPr>
        <w:lastRenderedPageBreak/>
        <w:t>פתחי תשובה חושן משפט סימן רלב</w:t>
      </w:r>
    </w:p>
    <w:p w14:paraId="605C6AAF" w14:textId="5F5F784B" w:rsidR="00CE05AC" w:rsidRDefault="00CE05AC" w:rsidP="00CE05AC">
      <w:pPr>
        <w:pStyle w:val="ListParagraph"/>
        <w:bidi/>
        <w:rPr>
          <w:rFonts w:asciiTheme="majorBidi" w:hAnsiTheme="majorBidi" w:cs="Times New Roman"/>
        </w:rPr>
      </w:pPr>
      <w:r w:rsidRPr="00CE05AC">
        <w:rPr>
          <w:rFonts w:asciiTheme="majorBidi" w:hAnsiTheme="majorBidi" w:cs="Times New Roman"/>
          <w:rtl/>
        </w:rPr>
        <w:t>סעיף י"א (ו) הוי מקח טעות. וכמדומה דעכשיו לא נהגו כן, וא"כ מנהג מבטל הלכה כמו גבי ביצים מוזרות לקמן סעיף י"ט, ויש לחקור אחר המנהג. והוא הדין בשאר דברים שדרך למוכרן סתומים וחתומים כמות שהן, כגון תיבות עם דפי זכוכית לחלונות או תיבות עם אתרוגים וכיוצא בזה, יש לב"ד בכל מקום לחקור אחר המנהג:</w:t>
      </w:r>
    </w:p>
    <w:p w14:paraId="6C96BF44" w14:textId="6E3494BA" w:rsidR="000C73B9" w:rsidRDefault="000C73B9" w:rsidP="000C73B9">
      <w:pPr>
        <w:pStyle w:val="ListParagraph"/>
        <w:bidi/>
        <w:rPr>
          <w:rFonts w:asciiTheme="majorBidi" w:hAnsiTheme="majorBidi" w:cs="Times New Roman"/>
        </w:rPr>
      </w:pPr>
    </w:p>
    <w:p w14:paraId="2F78D3BD" w14:textId="77777777" w:rsidR="000C73B9" w:rsidRPr="000C73B9" w:rsidRDefault="000C73B9" w:rsidP="000C73B9">
      <w:pPr>
        <w:pStyle w:val="ListParagraph"/>
        <w:numPr>
          <w:ilvl w:val="0"/>
          <w:numId w:val="1"/>
        </w:numPr>
        <w:bidi/>
        <w:rPr>
          <w:rFonts w:asciiTheme="majorBidi" w:hAnsiTheme="majorBidi" w:cstheme="majorBidi"/>
          <w:b/>
          <w:bCs/>
          <w:u w:val="single"/>
        </w:rPr>
      </w:pPr>
      <w:r w:rsidRPr="000C73B9">
        <w:rPr>
          <w:rFonts w:asciiTheme="majorBidi" w:hAnsiTheme="majorBidi" w:cs="Times New Roman"/>
          <w:b/>
          <w:bCs/>
          <w:u w:val="single"/>
          <w:rtl/>
        </w:rPr>
        <w:t>שולחן ערוך חושן משפט הלכות שכירות פועלים סימן שלז</w:t>
      </w:r>
    </w:p>
    <w:p w14:paraId="723A9BAD" w14:textId="21ABD682" w:rsidR="000C73B9" w:rsidRDefault="000C73B9" w:rsidP="000C73B9">
      <w:pPr>
        <w:pStyle w:val="ListParagraph"/>
        <w:bidi/>
        <w:rPr>
          <w:rFonts w:asciiTheme="majorBidi" w:hAnsiTheme="majorBidi" w:cs="Times New Roman"/>
        </w:rPr>
      </w:pPr>
      <w:r w:rsidRPr="000C73B9">
        <w:rPr>
          <w:rFonts w:asciiTheme="majorBidi" w:hAnsiTheme="majorBidi" w:cs="Times New Roman"/>
          <w:rtl/>
        </w:rPr>
        <w:t>מוזהר הפועל שלא יבטל מעט כאן ומעט כאן, אלא חייב לדקדק על עצמו בזמן, שהרי הקפידו על ברכה רביעית של ברכת המזון שלא יברך אותה; וכן חייב לעבוד בכל כחו, שהרי יעקב הצדיק אמר: כי בכל כחי עבדתי את אביכן (בראשית לא, ו); לפיכך נטל שכרו אף בעולם הזה, שנאמר: ויפרוץ האיש מאד מאד (בראשית ל, מג).</w:t>
      </w:r>
    </w:p>
    <w:p w14:paraId="43F26D62" w14:textId="465B1242" w:rsidR="000C73B9" w:rsidRDefault="000C73B9" w:rsidP="000C73B9">
      <w:pPr>
        <w:pStyle w:val="ListParagraph"/>
        <w:bidi/>
        <w:rPr>
          <w:rFonts w:asciiTheme="majorBidi" w:hAnsiTheme="majorBidi" w:cs="Times New Roman"/>
        </w:rPr>
      </w:pPr>
    </w:p>
    <w:p w14:paraId="19095107" w14:textId="77777777" w:rsidR="000C73B9" w:rsidRPr="000C73B9" w:rsidRDefault="000C73B9" w:rsidP="000C73B9">
      <w:pPr>
        <w:pStyle w:val="ListParagraph"/>
        <w:numPr>
          <w:ilvl w:val="0"/>
          <w:numId w:val="1"/>
        </w:numPr>
        <w:bidi/>
        <w:rPr>
          <w:rFonts w:asciiTheme="majorBidi" w:hAnsiTheme="majorBidi" w:cstheme="majorBidi"/>
        </w:rPr>
      </w:pPr>
      <w:r w:rsidRPr="000C73B9">
        <w:rPr>
          <w:rFonts w:asciiTheme="majorBidi" w:hAnsiTheme="majorBidi" w:cstheme="majorBidi"/>
          <w:b/>
          <w:bCs/>
          <w:u w:val="single"/>
          <w:rtl/>
        </w:rPr>
        <w:t>שולחן ערוך (שם)</w:t>
      </w:r>
    </w:p>
    <w:p w14:paraId="74646B0F" w14:textId="77777777" w:rsidR="000C73B9" w:rsidRPr="000C73B9" w:rsidRDefault="000C73B9" w:rsidP="000C73B9">
      <w:pPr>
        <w:pStyle w:val="ListParagraph"/>
        <w:bidi/>
        <w:rPr>
          <w:rFonts w:asciiTheme="majorBidi" w:hAnsiTheme="majorBidi" w:cstheme="majorBidi"/>
        </w:rPr>
      </w:pPr>
      <w:r w:rsidRPr="000C73B9">
        <w:rPr>
          <w:rFonts w:asciiTheme="majorBidi" w:hAnsiTheme="majorBidi" w:cstheme="majorBidi"/>
          <w:rtl/>
        </w:rPr>
        <w:t xml:space="preserve">...ואם נותן להם שכר, מתפללין הביננו. </w:t>
      </w:r>
      <w:r w:rsidRPr="000C73B9">
        <w:rPr>
          <w:rFonts w:asciiTheme="majorBidi" w:hAnsiTheme="majorBidi" w:cstheme="majorBidi"/>
          <w:u w:val="single"/>
          <w:rtl/>
        </w:rPr>
        <w:t>והאידנא, אין דרך להקפיד בכך, ומסתמא אדעתא דהכי משכירין אותם שיתפללו י"ח.</w:t>
      </w:r>
    </w:p>
    <w:p w14:paraId="4B6C1A3B" w14:textId="77777777" w:rsidR="000C73B9" w:rsidRPr="000C73B9" w:rsidRDefault="000C73B9" w:rsidP="000C73B9">
      <w:pPr>
        <w:pStyle w:val="ListParagraph"/>
        <w:bidi/>
        <w:rPr>
          <w:rFonts w:asciiTheme="majorBidi" w:hAnsiTheme="majorBidi" w:cstheme="majorBidi"/>
        </w:rPr>
      </w:pPr>
      <w:r w:rsidRPr="000C73B9">
        <w:rPr>
          <w:rFonts w:asciiTheme="majorBidi" w:hAnsiTheme="majorBidi" w:cstheme="majorBidi"/>
          <w:rtl/>
        </w:rPr>
        <w:t> </w:t>
      </w:r>
    </w:p>
    <w:p w14:paraId="17B88173" w14:textId="516D86E7" w:rsidR="000C73B9" w:rsidRPr="000C73B9" w:rsidRDefault="000C73B9" w:rsidP="000C73B9">
      <w:pPr>
        <w:pStyle w:val="ListParagraph"/>
        <w:numPr>
          <w:ilvl w:val="0"/>
          <w:numId w:val="1"/>
        </w:numPr>
        <w:bidi/>
        <w:rPr>
          <w:rFonts w:asciiTheme="majorBidi" w:hAnsiTheme="majorBidi" w:cstheme="majorBidi"/>
        </w:rPr>
      </w:pPr>
      <w:r w:rsidRPr="000C73B9">
        <w:rPr>
          <w:rFonts w:asciiTheme="majorBidi" w:hAnsiTheme="majorBidi" w:cstheme="majorBidi"/>
          <w:b/>
          <w:bCs/>
          <w:u w:val="single"/>
          <w:rtl/>
        </w:rPr>
        <w:t>ביאור הגר"א (אורח חיים סימן קי סעיף ב)</w:t>
      </w:r>
    </w:p>
    <w:p w14:paraId="1C4AD0E7" w14:textId="71DD3544" w:rsidR="000C73B9" w:rsidRDefault="000C73B9" w:rsidP="000C73B9">
      <w:pPr>
        <w:pStyle w:val="ListParagraph"/>
        <w:bidi/>
        <w:rPr>
          <w:rFonts w:asciiTheme="majorBidi" w:hAnsiTheme="majorBidi" w:cstheme="majorBidi"/>
        </w:rPr>
      </w:pPr>
      <w:r w:rsidRPr="000C73B9">
        <w:rPr>
          <w:rFonts w:asciiTheme="majorBidi" w:hAnsiTheme="majorBidi" w:cstheme="majorBidi"/>
          <w:rtl/>
        </w:rPr>
        <w:t xml:space="preserve">והאידנא כו'. </w:t>
      </w:r>
      <w:r w:rsidRPr="000C73B9">
        <w:rPr>
          <w:rFonts w:asciiTheme="majorBidi" w:hAnsiTheme="majorBidi" w:cstheme="majorBidi"/>
          <w:u w:val="single"/>
          <w:rtl/>
        </w:rPr>
        <w:t>דכל דמשכיר אדעתא דמנהגא משכיר</w:t>
      </w:r>
      <w:r w:rsidRPr="000C73B9">
        <w:rPr>
          <w:rFonts w:asciiTheme="majorBidi" w:hAnsiTheme="majorBidi" w:cstheme="majorBidi"/>
          <w:rtl/>
        </w:rPr>
        <w:t xml:space="preserve"> כמ"ש בר"פ הפועלים, ע"כ, (עיין בבא מציעא פרק ז).</w:t>
      </w:r>
    </w:p>
    <w:p w14:paraId="4E515A61" w14:textId="22050BA3" w:rsidR="000C73B9" w:rsidRDefault="000C73B9" w:rsidP="000C73B9">
      <w:pPr>
        <w:pStyle w:val="ListParagraph"/>
        <w:bidi/>
        <w:rPr>
          <w:rFonts w:asciiTheme="majorBidi" w:hAnsiTheme="majorBidi" w:cstheme="majorBidi"/>
        </w:rPr>
      </w:pPr>
    </w:p>
    <w:p w14:paraId="3B328C7B" w14:textId="77777777" w:rsidR="000C73B9" w:rsidRPr="000C73B9" w:rsidRDefault="000C73B9" w:rsidP="000C73B9">
      <w:pPr>
        <w:pStyle w:val="ListParagraph"/>
        <w:numPr>
          <w:ilvl w:val="0"/>
          <w:numId w:val="1"/>
        </w:numPr>
        <w:bidi/>
        <w:rPr>
          <w:rFonts w:asciiTheme="majorBidi" w:hAnsiTheme="majorBidi" w:cstheme="majorBidi"/>
          <w:b/>
          <w:bCs/>
          <w:u w:val="single"/>
        </w:rPr>
      </w:pPr>
      <w:r w:rsidRPr="000C73B9">
        <w:rPr>
          <w:rFonts w:asciiTheme="majorBidi" w:hAnsiTheme="majorBidi" w:cs="Times New Roman"/>
          <w:b/>
          <w:bCs/>
          <w:u w:val="single"/>
          <w:rtl/>
        </w:rPr>
        <w:t>תלמוד בבלי מסכת בבא בתרא דף ב עמוד א</w:t>
      </w:r>
    </w:p>
    <w:p w14:paraId="369C423C" w14:textId="4E7EA716" w:rsidR="000C73B9" w:rsidRDefault="000C73B9" w:rsidP="000C73B9">
      <w:pPr>
        <w:pStyle w:val="ListParagraph"/>
        <w:bidi/>
        <w:rPr>
          <w:rFonts w:asciiTheme="majorBidi" w:hAnsiTheme="majorBidi" w:cs="Times New Roman"/>
        </w:rPr>
      </w:pPr>
      <w:r w:rsidRPr="000C73B9">
        <w:rPr>
          <w:rFonts w:asciiTheme="majorBidi" w:hAnsiTheme="majorBidi" w:cs="Times New Roman"/>
          <w:rtl/>
        </w:rPr>
        <w:t>/מתני'/. השותפין שרצו לעשות מחיצה בחצר - בונין את הכותל באמצע. מקום שנהגו לבנות גויל, גזית, כפיסין, לבינין - בונין, הכל כמנהג המדינה. גויל - זה נותן ג' טפחים וזה נותן ג' טפחים; בגזית - זה נותן טפחיים ומחצה וזה נותן טפחיים ומחצה; בכפיסין - זה נותן טפחיים וזה נותן טפחיים; בלבינין - זה נותן טפח ומחצה וזה נותן טפח ומחצה. לפיכך, אם נפל הכותל - המקום והאבנים של שניהם. וכן בגינה, מקום שנהגו לגדור - מחייבין אותו; אבל בבקעה, מקום שנהגו שלא לגדור - אין מחייבין אותו, אלא אם רצה, כונס לתוך שלו ובונה ועושה חזית מבחוץ. לפיכך, אם נפל הכותל - המקום והאבנים שלו. אם עשו מדעת שניהם - בונין את הכותל באמצע ועושין חזית מכאן ומכאן. לפיכך, אם נפל הכותל - המקום והאבנים של שניהם.</w:t>
      </w:r>
    </w:p>
    <w:p w14:paraId="6BDCD447" w14:textId="11C8871B" w:rsidR="000C73B9" w:rsidRDefault="000C73B9" w:rsidP="000C73B9">
      <w:pPr>
        <w:pStyle w:val="ListParagraph"/>
        <w:bidi/>
        <w:rPr>
          <w:rFonts w:asciiTheme="majorBidi" w:hAnsiTheme="majorBidi" w:cs="Times New Roman"/>
        </w:rPr>
      </w:pPr>
    </w:p>
    <w:p w14:paraId="11B2CA99" w14:textId="77777777" w:rsidR="000C73B9" w:rsidRPr="000C73B9" w:rsidRDefault="000C73B9" w:rsidP="000C73B9">
      <w:pPr>
        <w:pStyle w:val="ListParagraph"/>
        <w:numPr>
          <w:ilvl w:val="0"/>
          <w:numId w:val="1"/>
        </w:numPr>
        <w:bidi/>
        <w:rPr>
          <w:rFonts w:asciiTheme="majorBidi" w:hAnsiTheme="majorBidi" w:cstheme="majorBidi"/>
          <w:b/>
          <w:bCs/>
          <w:u w:val="single"/>
        </w:rPr>
      </w:pPr>
      <w:r w:rsidRPr="000C73B9">
        <w:rPr>
          <w:rFonts w:asciiTheme="majorBidi" w:hAnsiTheme="majorBidi" w:cs="Times New Roman"/>
          <w:b/>
          <w:bCs/>
          <w:u w:val="single"/>
          <w:rtl/>
        </w:rPr>
        <w:t>תוספות מסכת בבא בתרא דף ב עמוד א</w:t>
      </w:r>
    </w:p>
    <w:p w14:paraId="54F3CC15" w14:textId="13130EE6" w:rsidR="000C73B9" w:rsidRPr="000C73B9" w:rsidRDefault="000C73B9" w:rsidP="000C73B9">
      <w:pPr>
        <w:pStyle w:val="ListParagraph"/>
        <w:bidi/>
        <w:rPr>
          <w:rFonts w:asciiTheme="majorBidi" w:hAnsiTheme="majorBidi" w:cstheme="majorBidi"/>
        </w:rPr>
      </w:pPr>
      <w:r w:rsidRPr="000C73B9">
        <w:rPr>
          <w:rFonts w:asciiTheme="majorBidi" w:hAnsiTheme="majorBidi" w:cs="Times New Roman"/>
          <w:rtl/>
        </w:rPr>
        <w:t xml:space="preserve">בגויל זה נותן ג' טפחים כו' - והא דלא קאמר בגויל ו' טפחים משום דלא נטעי למימר ו' לכל אחד וא"ת אמאי אצטריך למיתני מדת גויל וגזית כיון דתנן הכל כמנהג המדינה כמו שנהגו כן יעשו וי"ל דאם נהגו יותר מו' בגויל לא יעשה וכן כולם אלא כשיעור המפורש ומיהו אם נהגו לעשות פחות מו' יעשה דאפילו אם נהגו בהוצא ודפנא יעשה כדמפרש בגמרא וא"ת ומאי בעי בגמ' הכל כמנהג המדינה לאתויי מאי ומשני לאתויי אתרא דנהיגי בהוצא ודפנא לימא לאתויי כמנהג כל המקומות כמו שנהגו </w:t>
      </w:r>
      <w:r w:rsidRPr="00C73D79">
        <w:rPr>
          <w:rFonts w:asciiTheme="majorBidi" w:hAnsiTheme="majorBidi" w:cs="Times New Roman"/>
          <w:b/>
          <w:bCs/>
          <w:rtl/>
        </w:rPr>
        <w:t>ונראה לר"ת דדוקא בהוצא ודפנא אבל פחות מכאן אפילו נהגו מנהג הדיוט הוא ומוכיח מכאן דיש מנהגים שאין לסמוך עליהם אפילו היכא דתנן הכל כמנהג המדינה.</w:t>
      </w:r>
    </w:p>
    <w:p w14:paraId="2ED836A9" w14:textId="77777777" w:rsidR="000C73B9" w:rsidRPr="00CE05AC" w:rsidRDefault="000C73B9" w:rsidP="000C73B9">
      <w:pPr>
        <w:pStyle w:val="ListParagraph"/>
        <w:bidi/>
        <w:rPr>
          <w:rFonts w:asciiTheme="majorBidi" w:hAnsiTheme="majorBidi" w:cstheme="majorBidi"/>
        </w:rPr>
      </w:pPr>
    </w:p>
    <w:sectPr w:rsidR="000C73B9" w:rsidRPr="00CE05AC" w:rsidSect="000C73B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237D4"/>
    <w:multiLevelType w:val="hybridMultilevel"/>
    <w:tmpl w:val="4FD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AC"/>
    <w:rsid w:val="000C73B9"/>
    <w:rsid w:val="004064AD"/>
    <w:rsid w:val="00C73D79"/>
    <w:rsid w:val="00CE0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4F2"/>
  <w15:chartTrackingRefBased/>
  <w15:docId w15:val="{01025436-088F-4C7A-ADE1-64ACEC33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2</cp:revision>
  <dcterms:created xsi:type="dcterms:W3CDTF">2020-11-12T20:14:00Z</dcterms:created>
  <dcterms:modified xsi:type="dcterms:W3CDTF">2020-11-14T23:31:00Z</dcterms:modified>
</cp:coreProperties>
</file>