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32F" w:rsidRPr="008A664C" w:rsidRDefault="008F732F" w:rsidP="008F732F">
      <w:pPr>
        <w:autoSpaceDE w:val="0"/>
        <w:autoSpaceDN w:val="0"/>
        <w:bidi/>
        <w:adjustRightInd w:val="0"/>
        <w:spacing w:after="0" w:line="240" w:lineRule="auto"/>
        <w:rPr>
          <w:rFonts w:ascii="Times New Roman" w:hAnsi="Times New Roman" w:cs="Times New Roman"/>
          <w:b/>
          <w:bCs/>
          <w:sz w:val="24"/>
          <w:szCs w:val="24"/>
        </w:rPr>
      </w:pPr>
      <w:r w:rsidRPr="008A664C">
        <w:rPr>
          <w:rFonts w:ascii="Times New Roman" w:hAnsi="Times New Roman" w:cs="Times New Roman" w:hint="cs"/>
          <w:b/>
          <w:bCs/>
          <w:sz w:val="24"/>
          <w:szCs w:val="24"/>
          <w:rtl/>
        </w:rPr>
        <w:t xml:space="preserve">מסכת בבא קמא </w:t>
      </w:r>
      <w:r w:rsidRPr="008A664C">
        <w:rPr>
          <w:rFonts w:ascii="Times New Roman" w:hAnsi="Times New Roman" w:cs="Times New Roman"/>
          <w:b/>
          <w:bCs/>
          <w:sz w:val="24"/>
          <w:szCs w:val="24"/>
          <w:rtl/>
        </w:rPr>
        <w:t>–</w:t>
      </w:r>
      <w:r w:rsidRPr="008A664C">
        <w:rPr>
          <w:rFonts w:ascii="Times New Roman" w:hAnsi="Times New Roman" w:cs="Times New Roman" w:hint="cs"/>
          <w:b/>
          <w:bCs/>
          <w:sz w:val="24"/>
          <w:szCs w:val="24"/>
          <w:rtl/>
        </w:rPr>
        <w:t xml:space="preserve"> תשע"ח-תשע"ט  דף מקורות #</w:t>
      </w:r>
      <w:r>
        <w:rPr>
          <w:rFonts w:ascii="Times New Roman" w:hAnsi="Times New Roman" w:cs="Times New Roman"/>
          <w:b/>
          <w:bCs/>
          <w:sz w:val="24"/>
          <w:szCs w:val="24"/>
        </w:rPr>
        <w:t>6</w:t>
      </w:r>
    </w:p>
    <w:p w:rsidR="008F732F" w:rsidRPr="008F732F" w:rsidRDefault="008F732F" w:rsidP="008F732F">
      <w:pPr>
        <w:autoSpaceDE w:val="0"/>
        <w:autoSpaceDN w:val="0"/>
        <w:bidi/>
        <w:adjustRightInd w:val="0"/>
        <w:spacing w:after="0" w:line="240" w:lineRule="auto"/>
        <w:rPr>
          <w:rFonts w:ascii="Times New Roman" w:hAnsi="Times New Roman" w:cs="Times New Roman"/>
          <w:color w:val="000000"/>
          <w:sz w:val="24"/>
          <w:szCs w:val="24"/>
          <w:rtl/>
        </w:rPr>
      </w:pPr>
    </w:p>
    <w:p w:rsidR="008F732F" w:rsidRPr="008F732F" w:rsidRDefault="008F732F" w:rsidP="008F732F">
      <w:pPr>
        <w:autoSpaceDE w:val="0"/>
        <w:autoSpaceDN w:val="0"/>
        <w:bidi/>
        <w:adjustRightInd w:val="0"/>
        <w:spacing w:after="0" w:line="240" w:lineRule="auto"/>
        <w:rPr>
          <w:rFonts w:ascii="Times New Roman" w:hAnsi="Times New Roman" w:cs="Times New Roman"/>
          <w:b/>
          <w:bCs/>
          <w:color w:val="000000"/>
          <w:sz w:val="24"/>
          <w:szCs w:val="24"/>
          <w:u w:val="single"/>
          <w:rtl/>
        </w:rPr>
      </w:pPr>
      <w:r w:rsidRPr="008F732F">
        <w:rPr>
          <w:rFonts w:ascii="Times New Roman" w:hAnsi="Times New Roman" w:cs="Times New Roman" w:hint="cs"/>
          <w:b/>
          <w:bCs/>
          <w:color w:val="000000"/>
          <w:sz w:val="24"/>
          <w:szCs w:val="24"/>
          <w:u w:val="single"/>
          <w:rtl/>
        </w:rPr>
        <w:t>בענין נז</w:t>
      </w:r>
      <w:r w:rsidR="00A85DAB">
        <w:rPr>
          <w:rFonts w:ascii="Times New Roman" w:hAnsi="Times New Roman" w:cs="Times New Roman" w:hint="cs"/>
          <w:b/>
          <w:bCs/>
          <w:color w:val="000000"/>
          <w:sz w:val="24"/>
          <w:szCs w:val="24"/>
          <w:u w:val="single"/>
          <w:rtl/>
        </w:rPr>
        <w:t>ק</w:t>
      </w:r>
      <w:r w:rsidRPr="008F732F">
        <w:rPr>
          <w:rFonts w:ascii="Times New Roman" w:hAnsi="Times New Roman" w:cs="Times New Roman" w:hint="cs"/>
          <w:b/>
          <w:bCs/>
          <w:color w:val="000000"/>
          <w:sz w:val="24"/>
          <w:szCs w:val="24"/>
          <w:u w:val="single"/>
          <w:rtl/>
        </w:rPr>
        <w:t>י עבד ואמה</w:t>
      </w:r>
    </w:p>
    <w:p w:rsidR="00E50FBC" w:rsidRDefault="00E50FBC" w:rsidP="008F732F">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hint="cs"/>
          <w:color w:val="000000"/>
          <w:sz w:val="24"/>
          <w:szCs w:val="24"/>
          <w:rtl/>
        </w:rPr>
        <w:t>משנה ב"ק פז. העבד והאשה ... נשתחרר העובד חייבין לשלם</w:t>
      </w:r>
    </w:p>
    <w:p w:rsidR="008F732F" w:rsidRDefault="008F732F" w:rsidP="00E50FBC">
      <w:pPr>
        <w:autoSpaceDE w:val="0"/>
        <w:autoSpaceDN w:val="0"/>
        <w:bidi/>
        <w:adjustRightInd w:val="0"/>
        <w:spacing w:after="0" w:line="240" w:lineRule="auto"/>
        <w:rPr>
          <w:rFonts w:ascii="Times New Roman" w:hAnsi="Times New Roman" w:cs="Times New Roman" w:hint="cs"/>
          <w:color w:val="000000"/>
          <w:sz w:val="24"/>
          <w:szCs w:val="24"/>
          <w:rtl/>
        </w:rPr>
      </w:pPr>
      <w:r>
        <w:rPr>
          <w:rFonts w:ascii="Times New Roman" w:hAnsi="Times New Roman" w:cs="Times New Roman" w:hint="cs"/>
          <w:color w:val="000000"/>
          <w:sz w:val="24"/>
          <w:szCs w:val="24"/>
          <w:rtl/>
        </w:rPr>
        <w:t>משנה ידים פ"ד מ"ז</w:t>
      </w:r>
    </w:p>
    <w:p w:rsidR="008F732F" w:rsidRDefault="008F732F" w:rsidP="008F732F">
      <w:pPr>
        <w:autoSpaceDE w:val="0"/>
        <w:autoSpaceDN w:val="0"/>
        <w:bidi/>
        <w:adjustRightInd w:val="0"/>
        <w:spacing w:after="0" w:line="240" w:lineRule="auto"/>
        <w:rPr>
          <w:rFonts w:ascii="Times New Roman" w:hAnsi="Times New Roman" w:cs="Times New Roman" w:hint="cs"/>
          <w:color w:val="000000"/>
          <w:sz w:val="24"/>
          <w:szCs w:val="24"/>
          <w:rtl/>
        </w:rPr>
      </w:pPr>
      <w:r>
        <w:rPr>
          <w:rFonts w:ascii="Times New Roman" w:hAnsi="Times New Roman" w:cs="Times New Roman" w:hint="cs"/>
          <w:color w:val="000000"/>
          <w:sz w:val="24"/>
          <w:szCs w:val="24"/>
          <w:rtl/>
        </w:rPr>
        <w:t>פירוש הרמב"ם שם</w:t>
      </w:r>
    </w:p>
    <w:p w:rsidR="008F732F" w:rsidRDefault="008F732F" w:rsidP="008F732F">
      <w:pPr>
        <w:autoSpaceDE w:val="0"/>
        <w:autoSpaceDN w:val="0"/>
        <w:bidi/>
        <w:adjustRightInd w:val="0"/>
        <w:spacing w:after="0" w:line="240" w:lineRule="auto"/>
        <w:rPr>
          <w:rFonts w:ascii="Times New Roman" w:hAnsi="Times New Roman" w:cs="Times New Roman" w:hint="cs"/>
          <w:color w:val="000000"/>
          <w:sz w:val="24"/>
          <w:szCs w:val="24"/>
          <w:rtl/>
        </w:rPr>
      </w:pPr>
      <w:r>
        <w:rPr>
          <w:rFonts w:ascii="Times New Roman" w:hAnsi="Times New Roman" w:cs="Times New Roman" w:hint="cs"/>
          <w:color w:val="000000"/>
          <w:sz w:val="24"/>
          <w:szCs w:val="24"/>
          <w:rtl/>
        </w:rPr>
        <w:t>גמ' ב"ק ד. ולא ק"ו ... מאה מנה בכל יום</w:t>
      </w:r>
    </w:p>
    <w:p w:rsidR="008F732F" w:rsidRDefault="008F732F" w:rsidP="008F732F">
      <w:pPr>
        <w:autoSpaceDE w:val="0"/>
        <w:autoSpaceDN w:val="0"/>
        <w:bidi/>
        <w:adjustRightInd w:val="0"/>
        <w:spacing w:after="0" w:line="240" w:lineRule="auto"/>
        <w:rPr>
          <w:rFonts w:ascii="Times New Roman" w:hAnsi="Times New Roman" w:cs="Times New Roman" w:hint="cs"/>
          <w:color w:val="000000"/>
          <w:sz w:val="24"/>
          <w:szCs w:val="24"/>
          <w:rtl/>
        </w:rPr>
      </w:pPr>
      <w:r>
        <w:rPr>
          <w:rFonts w:ascii="Times New Roman" w:hAnsi="Times New Roman" w:cs="Times New Roman" w:hint="cs"/>
          <w:color w:val="000000"/>
          <w:sz w:val="24"/>
          <w:szCs w:val="24"/>
          <w:rtl/>
        </w:rPr>
        <w:t>רש"י שם ד"ה אפ"ה פטורין</w:t>
      </w:r>
    </w:p>
    <w:p w:rsidR="008F732F" w:rsidRDefault="008F732F" w:rsidP="008F732F">
      <w:pPr>
        <w:autoSpaceDE w:val="0"/>
        <w:autoSpaceDN w:val="0"/>
        <w:bidi/>
        <w:adjustRightInd w:val="0"/>
        <w:spacing w:after="0" w:line="240" w:lineRule="auto"/>
        <w:rPr>
          <w:rFonts w:ascii="Times New Roman" w:hAnsi="Times New Roman" w:cs="Times New Roman" w:hint="cs"/>
          <w:color w:val="000000"/>
          <w:sz w:val="24"/>
          <w:szCs w:val="24"/>
          <w:rtl/>
        </w:rPr>
      </w:pPr>
      <w:r>
        <w:rPr>
          <w:rFonts w:ascii="Times New Roman" w:hAnsi="Times New Roman" w:cs="Times New Roman" w:hint="cs"/>
          <w:color w:val="000000"/>
          <w:sz w:val="24"/>
          <w:szCs w:val="24"/>
          <w:rtl/>
        </w:rPr>
        <w:t>תוספות שם ד"ה מידי</w:t>
      </w:r>
    </w:p>
    <w:p w:rsidR="008F732F" w:rsidRDefault="008F732F" w:rsidP="008F732F">
      <w:pPr>
        <w:autoSpaceDE w:val="0"/>
        <w:autoSpaceDN w:val="0"/>
        <w:bidi/>
        <w:adjustRightInd w:val="0"/>
        <w:spacing w:after="0" w:line="240" w:lineRule="auto"/>
        <w:rPr>
          <w:rFonts w:ascii="Times New Roman" w:hAnsi="Times New Roman" w:cs="Times New Roman" w:hint="cs"/>
          <w:color w:val="000000"/>
          <w:sz w:val="24"/>
          <w:szCs w:val="24"/>
          <w:rtl/>
        </w:rPr>
      </w:pPr>
      <w:r>
        <w:rPr>
          <w:rFonts w:ascii="Times New Roman" w:hAnsi="Times New Roman" w:cs="Times New Roman" w:hint="cs"/>
          <w:color w:val="000000"/>
          <w:sz w:val="24"/>
          <w:szCs w:val="24"/>
          <w:rtl/>
        </w:rPr>
        <w:t>שיטמ"ק בשם תוספות הרא"ש שם ד"ה אעבד ואמה</w:t>
      </w:r>
    </w:p>
    <w:p w:rsidR="008F732F" w:rsidRPr="008F732F" w:rsidRDefault="008F732F" w:rsidP="008F732F">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hint="cs"/>
          <w:color w:val="000000"/>
          <w:sz w:val="24"/>
          <w:szCs w:val="24"/>
          <w:rtl/>
        </w:rPr>
        <w:t>תוספות שם ד"ה לאו</w:t>
      </w:r>
    </w:p>
    <w:p w:rsidR="008F732F" w:rsidRPr="00A85DAB" w:rsidRDefault="00A85DAB" w:rsidP="008F732F">
      <w:pPr>
        <w:autoSpaceDE w:val="0"/>
        <w:autoSpaceDN w:val="0"/>
        <w:bidi/>
        <w:adjustRightInd w:val="0"/>
        <w:spacing w:after="0" w:line="240" w:lineRule="auto"/>
        <w:rPr>
          <w:rFonts w:ascii="Times New Roman" w:hAnsi="Times New Roman" w:cs="Times New Roman"/>
          <w:color w:val="000000"/>
          <w:sz w:val="24"/>
          <w:szCs w:val="24"/>
        </w:rPr>
      </w:pPr>
      <w:r w:rsidRPr="00A85DAB">
        <w:rPr>
          <w:rFonts w:ascii="Times New Roman" w:hAnsi="Times New Roman" w:cs="Times New Roman" w:hint="cs"/>
          <w:color w:val="000000"/>
          <w:sz w:val="24"/>
          <w:szCs w:val="24"/>
          <w:rtl/>
        </w:rPr>
        <w:t>בית הבחירה שם ד"ה עבד ואמה</w:t>
      </w:r>
    </w:p>
    <w:p w:rsidR="008F732F" w:rsidRDefault="008F732F" w:rsidP="008F732F">
      <w:pPr>
        <w:autoSpaceDE w:val="0"/>
        <w:autoSpaceDN w:val="0"/>
        <w:bidi/>
        <w:adjustRightInd w:val="0"/>
        <w:spacing w:after="0" w:line="240" w:lineRule="auto"/>
        <w:rPr>
          <w:rFonts w:ascii="Times New Roman" w:hAnsi="Times New Roman" w:cs="Times New Roman"/>
          <w:b/>
          <w:bCs/>
          <w:color w:val="000000"/>
          <w:sz w:val="24"/>
          <w:szCs w:val="24"/>
          <w:u w:val="single"/>
          <w:rtl/>
        </w:rPr>
      </w:pPr>
    </w:p>
    <w:p w:rsidR="002733AB" w:rsidRDefault="002733AB" w:rsidP="008F732F">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b/>
          <w:bCs/>
          <w:color w:val="000000"/>
          <w:sz w:val="24"/>
          <w:szCs w:val="24"/>
          <w:u w:val="single"/>
          <w:rtl/>
        </w:rPr>
        <w:t>משנה ידים פ</w:t>
      </w:r>
      <w:r>
        <w:rPr>
          <w:rFonts w:ascii="Times New Roman" w:hAnsi="Times New Roman" w:cs="Times New Roman" w:hint="cs"/>
          <w:b/>
          <w:bCs/>
          <w:color w:val="000000"/>
          <w:sz w:val="24"/>
          <w:szCs w:val="24"/>
          <w:u w:val="single"/>
          <w:rtl/>
        </w:rPr>
        <w:t>"</w:t>
      </w:r>
      <w:r>
        <w:rPr>
          <w:rFonts w:ascii="Times New Roman" w:hAnsi="Times New Roman" w:cs="Times New Roman"/>
          <w:b/>
          <w:bCs/>
          <w:color w:val="000000"/>
          <w:sz w:val="24"/>
          <w:szCs w:val="24"/>
          <w:u w:val="single"/>
          <w:rtl/>
        </w:rPr>
        <w:t>ד מ</w:t>
      </w:r>
      <w:r>
        <w:rPr>
          <w:rFonts w:ascii="Times New Roman" w:hAnsi="Times New Roman" w:cs="Times New Roman" w:hint="cs"/>
          <w:b/>
          <w:bCs/>
          <w:color w:val="000000"/>
          <w:sz w:val="24"/>
          <w:szCs w:val="24"/>
          <w:u w:val="single"/>
          <w:rtl/>
        </w:rPr>
        <w:t>"</w:t>
      </w:r>
      <w:r>
        <w:rPr>
          <w:rFonts w:ascii="Times New Roman" w:hAnsi="Times New Roman" w:cs="Times New Roman"/>
          <w:b/>
          <w:bCs/>
          <w:color w:val="000000"/>
          <w:sz w:val="24"/>
          <w:szCs w:val="24"/>
          <w:u w:val="single"/>
          <w:rtl/>
        </w:rPr>
        <w:t xml:space="preserve">ז </w:t>
      </w:r>
    </w:p>
    <w:p w:rsidR="002733AB" w:rsidRDefault="002733AB" w:rsidP="002733AB">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tl/>
        </w:rPr>
        <w:t xml:space="preserve">אומרים צדוקין קובלין אנו עליכם פרושים שאתם אומרים שורי וחמורי שהזיקו חייבין ועבדי ואמתי שהזיקו פטורין מה אם שורי וחמורי שאיני חייב בהם מצות הרי אני חייב בנזקן עבדי ואמתי שאני חייב בהן מצות אינו דין שאהא חייב בנזקן אמרו להם לא אם אמרתם בשורי וחמורי שאין בהם דעת תאמרו בעבדי ובאמתי שיש בהם דעת שאם אקניטם ילך וידליק גדישו של אחר ואהא חייב לשלם: </w:t>
      </w:r>
    </w:p>
    <w:p w:rsidR="002733AB" w:rsidRDefault="002733AB" w:rsidP="002733AB">
      <w:pPr>
        <w:autoSpaceDE w:val="0"/>
        <w:autoSpaceDN w:val="0"/>
        <w:bidi/>
        <w:adjustRightInd w:val="0"/>
        <w:spacing w:after="0" w:line="240" w:lineRule="auto"/>
        <w:rPr>
          <w:rFonts w:ascii="Times New Roman" w:hAnsi="Times New Roman" w:cs="Times New Roman"/>
          <w:b/>
          <w:bCs/>
          <w:color w:val="000000"/>
          <w:sz w:val="24"/>
          <w:szCs w:val="24"/>
          <w:u w:val="single"/>
          <w:rtl/>
        </w:rPr>
      </w:pPr>
    </w:p>
    <w:p w:rsidR="002733AB" w:rsidRDefault="002733AB" w:rsidP="002733AB">
      <w:pPr>
        <w:autoSpaceDE w:val="0"/>
        <w:autoSpaceDN w:val="0"/>
        <w:bidi/>
        <w:adjustRightInd w:val="0"/>
        <w:spacing w:after="0" w:line="240" w:lineRule="auto"/>
        <w:rPr>
          <w:rFonts w:ascii="Times New Roman" w:hAnsi="Times New Roman" w:cs="Times New Roman"/>
          <w:b/>
          <w:bCs/>
          <w:color w:val="000000"/>
          <w:sz w:val="24"/>
          <w:szCs w:val="24"/>
          <w:u w:val="single"/>
          <w:rtl/>
        </w:rPr>
      </w:pPr>
      <w:r>
        <w:rPr>
          <w:rFonts w:ascii="Times New Roman" w:hAnsi="Times New Roman" w:cs="Times New Roman" w:hint="cs"/>
          <w:b/>
          <w:bCs/>
          <w:color w:val="000000"/>
          <w:sz w:val="24"/>
          <w:szCs w:val="24"/>
          <w:u w:val="single"/>
          <w:rtl/>
        </w:rPr>
        <w:t xml:space="preserve">פירוש </w:t>
      </w:r>
      <w:r w:rsidR="00A85DAB">
        <w:rPr>
          <w:rFonts w:ascii="Times New Roman" w:hAnsi="Times New Roman" w:cs="Times New Roman" w:hint="cs"/>
          <w:b/>
          <w:bCs/>
          <w:color w:val="000000"/>
          <w:sz w:val="24"/>
          <w:szCs w:val="24"/>
          <w:u w:val="single"/>
          <w:rtl/>
        </w:rPr>
        <w:t>ה</w:t>
      </w:r>
      <w:r>
        <w:rPr>
          <w:rFonts w:ascii="Times New Roman" w:hAnsi="Times New Roman" w:cs="Times New Roman"/>
          <w:b/>
          <w:bCs/>
          <w:color w:val="000000"/>
          <w:sz w:val="24"/>
          <w:szCs w:val="24"/>
          <w:u w:val="single"/>
          <w:rtl/>
        </w:rPr>
        <w:t>רמב"ם</w:t>
      </w:r>
    </w:p>
    <w:p w:rsidR="002733AB" w:rsidRDefault="002733AB" w:rsidP="002733AB">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tl/>
        </w:rPr>
        <w:t>וכבר ידעת שהדין אצלינו שהעבדים שהזיקו אין בעליהם חייבין לשלם כלל כמו שנתבאר בקמא נשים ועבדים וקטנים פגיעתן רעה הן שחבלו באחרים פטורים. אבל זה שהאדם חייב אם הזיקה בהמתו הרי הוא מפורש בתורה כי יגח שור כי יבער איש וכו'.</w:t>
      </w:r>
      <w:r>
        <w:rPr>
          <w:rFonts w:ascii="Times New Roman" w:hAnsi="Times New Roman" w:cs="Times New Roman"/>
          <w:color w:val="000000"/>
          <w:sz w:val="28"/>
          <w:szCs w:val="28"/>
          <w:rtl/>
        </w:rPr>
        <w:t xml:space="preserve"> שאם אקניטנו</w:t>
      </w:r>
      <w:r>
        <w:rPr>
          <w:rFonts w:ascii="Times New Roman" w:hAnsi="Times New Roman" w:cs="Times New Roman"/>
          <w:color w:val="000000"/>
          <w:sz w:val="24"/>
          <w:szCs w:val="24"/>
          <w:rtl/>
        </w:rPr>
        <w:t xml:space="preserve"> אם אדאיבנו וארגיזנו.</w:t>
      </w:r>
    </w:p>
    <w:p w:rsidR="002733AB" w:rsidRDefault="002733AB" w:rsidP="002733AB">
      <w:pPr>
        <w:autoSpaceDE w:val="0"/>
        <w:autoSpaceDN w:val="0"/>
        <w:bidi/>
        <w:adjustRightInd w:val="0"/>
        <w:spacing w:after="0" w:line="240" w:lineRule="auto"/>
        <w:rPr>
          <w:rFonts w:ascii="Times New Roman" w:hAnsi="Times New Roman" w:cs="Times New Roman"/>
          <w:color w:val="000000"/>
          <w:sz w:val="24"/>
          <w:szCs w:val="24"/>
          <w:rtl/>
        </w:rPr>
      </w:pPr>
    </w:p>
    <w:p w:rsidR="002733AB" w:rsidRDefault="002733AB" w:rsidP="00A85DAB">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b/>
          <w:bCs/>
          <w:color w:val="000000"/>
          <w:sz w:val="24"/>
          <w:szCs w:val="24"/>
          <w:u w:val="single"/>
          <w:rtl/>
        </w:rPr>
        <w:t xml:space="preserve">שיטה מקובצת מסכת בבא קמא </w:t>
      </w:r>
      <w:r w:rsidR="00A85DAB">
        <w:rPr>
          <w:rFonts w:ascii="Times New Roman" w:hAnsi="Times New Roman" w:cs="Times New Roman" w:hint="cs"/>
          <w:b/>
          <w:bCs/>
          <w:color w:val="000000"/>
          <w:sz w:val="24"/>
          <w:szCs w:val="24"/>
          <w:u w:val="single"/>
          <w:rtl/>
        </w:rPr>
        <w:t>ד.</w:t>
      </w:r>
    </w:p>
    <w:p w:rsidR="002733AB" w:rsidRDefault="002733AB" w:rsidP="002733AB">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8"/>
          <w:szCs w:val="28"/>
          <w:rtl/>
        </w:rPr>
        <w:t>אעבד ואמה</w:t>
      </w:r>
      <w:r>
        <w:rPr>
          <w:rFonts w:ascii="Times New Roman" w:hAnsi="Times New Roman" w:cs="Times New Roman"/>
          <w:color w:val="000000"/>
          <w:sz w:val="24"/>
          <w:szCs w:val="24"/>
          <w:rtl/>
        </w:rPr>
        <w:t>. לפירוש רש"י ז"ל שפירש משום דתנן בהחובל וכו' קשה דהתם לא מיירי בפיטור האדון אלא העבד פטור שאין לו מה לשלם ואם נשתחרר חייב אבל מתניתין דידים ניחא דמיירי בפיטור האדון. תוספי הרא"ש ז"ל.</w:t>
      </w:r>
    </w:p>
    <w:p w:rsidR="00A85DAB" w:rsidRDefault="00A85DAB" w:rsidP="002733AB">
      <w:pPr>
        <w:autoSpaceDE w:val="0"/>
        <w:autoSpaceDN w:val="0"/>
        <w:bidi/>
        <w:adjustRightInd w:val="0"/>
        <w:spacing w:after="0" w:line="240" w:lineRule="auto"/>
        <w:rPr>
          <w:rFonts w:ascii="Times New Roman" w:hAnsi="Times New Roman" w:cs="Times New Roman"/>
          <w:color w:val="000000"/>
          <w:sz w:val="18"/>
          <w:szCs w:val="18"/>
          <w:rtl/>
        </w:rPr>
      </w:pPr>
    </w:p>
    <w:p w:rsidR="00A85DAB" w:rsidRDefault="00A85DAB" w:rsidP="00A85DAB">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b/>
          <w:bCs/>
          <w:color w:val="000000"/>
          <w:sz w:val="24"/>
          <w:szCs w:val="24"/>
          <w:u w:val="single"/>
          <w:rtl/>
        </w:rPr>
        <w:t xml:space="preserve">בית הבחירה למאירי בבא קמא </w:t>
      </w:r>
      <w:r>
        <w:rPr>
          <w:rFonts w:ascii="Times New Roman" w:hAnsi="Times New Roman" w:cs="Times New Roman" w:hint="cs"/>
          <w:b/>
          <w:bCs/>
          <w:color w:val="000000"/>
          <w:sz w:val="24"/>
          <w:szCs w:val="24"/>
          <w:u w:val="single"/>
          <w:rtl/>
        </w:rPr>
        <w:t>ד.</w:t>
      </w:r>
    </w:p>
    <w:p w:rsidR="00A85DAB" w:rsidRDefault="00A85DAB" w:rsidP="00A85DAB">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8"/>
          <w:szCs w:val="28"/>
          <w:rtl/>
        </w:rPr>
        <w:t>עבד</w:t>
      </w:r>
      <w:r>
        <w:rPr>
          <w:rFonts w:ascii="Times New Roman" w:hAnsi="Times New Roman" w:cs="Times New Roman"/>
          <w:color w:val="000000"/>
          <w:sz w:val="24"/>
          <w:szCs w:val="24"/>
          <w:rtl/>
        </w:rPr>
        <w:t xml:space="preserve"> ואמה אף על פי שכונתם להזיק אין הרב חייב בנזקיהם ואף על פי שהם ממונו ושמירתן עליו ודבר זה תקנה חכמים הוא גזרה שמא יקניטנו רבו וילך וידליק גדישו של חברו ונמצא מחייב את רבו בכל יום ושמא תאמר בשוגג מיהא יתחייבו הבעלים שהרי בשגגה אין בה טעם הקנטה אף הוא מרמה ומזיד ועושה עצמו שוגג:</w:t>
      </w:r>
    </w:p>
    <w:p w:rsidR="00A85DAB" w:rsidRDefault="00A85DAB" w:rsidP="00A85DAB">
      <w:pPr>
        <w:autoSpaceDE w:val="0"/>
        <w:autoSpaceDN w:val="0"/>
        <w:bidi/>
        <w:adjustRightInd w:val="0"/>
        <w:spacing w:after="0" w:line="240" w:lineRule="auto"/>
        <w:rPr>
          <w:rFonts w:ascii="Times New Roman" w:hAnsi="Times New Roman" w:cs="Times New Roman"/>
          <w:color w:val="000000"/>
          <w:sz w:val="24"/>
          <w:szCs w:val="24"/>
          <w:rtl/>
        </w:rPr>
      </w:pPr>
    </w:p>
    <w:p w:rsidR="00A85DAB" w:rsidRDefault="00A85DAB" w:rsidP="00A85DAB">
      <w:pPr>
        <w:autoSpaceDE w:val="0"/>
        <w:autoSpaceDN w:val="0"/>
        <w:bidi/>
        <w:adjustRightInd w:val="0"/>
        <w:spacing w:after="0" w:line="240" w:lineRule="auto"/>
        <w:rPr>
          <w:rFonts w:ascii="Times New Roman" w:hAnsi="Times New Roman" w:cs="Times New Roman"/>
          <w:color w:val="000000"/>
          <w:sz w:val="24"/>
          <w:szCs w:val="24"/>
          <w:rtl/>
        </w:rPr>
      </w:pPr>
    </w:p>
    <w:p w:rsidR="002733AB" w:rsidRDefault="002733AB" w:rsidP="00A85DAB">
      <w:pPr>
        <w:autoSpaceDE w:val="0"/>
        <w:autoSpaceDN w:val="0"/>
        <w:bidi/>
        <w:adjustRightInd w:val="0"/>
        <w:spacing w:after="0" w:line="240" w:lineRule="auto"/>
        <w:rPr>
          <w:rFonts w:ascii="Times New Roman" w:hAnsi="Times New Roman" w:cs="Times New Roman"/>
          <w:color w:val="000000"/>
          <w:sz w:val="18"/>
          <w:szCs w:val="18"/>
          <w:rtl/>
        </w:rPr>
      </w:pPr>
      <w:r>
        <w:rPr>
          <w:rFonts w:ascii="Times New Roman" w:hAnsi="Times New Roman" w:cs="Times New Roman"/>
          <w:color w:val="000000"/>
          <w:sz w:val="18"/>
          <w:szCs w:val="18"/>
          <w:rtl/>
        </w:rPr>
        <w:t xml:space="preserve"> </w:t>
      </w:r>
    </w:p>
    <w:p w:rsidR="00A06D39" w:rsidRPr="00A85DAB" w:rsidRDefault="00A06D39" w:rsidP="002733AB">
      <w:pPr>
        <w:bidi/>
        <w:rPr>
          <w:rFonts w:asciiTheme="majorBidi" w:hAnsiTheme="majorBidi" w:cstheme="majorBidi"/>
          <w:rtl/>
        </w:rPr>
      </w:pPr>
    </w:p>
    <w:p w:rsidR="00E50FBC" w:rsidRPr="00A85DAB" w:rsidRDefault="00E50FBC" w:rsidP="00E50FBC">
      <w:pPr>
        <w:pStyle w:val="ListParagraph"/>
        <w:numPr>
          <w:ilvl w:val="0"/>
          <w:numId w:val="1"/>
        </w:numPr>
        <w:bidi/>
        <w:rPr>
          <w:rFonts w:asciiTheme="majorBidi" w:hAnsiTheme="majorBidi" w:cstheme="majorBidi"/>
        </w:rPr>
      </w:pPr>
      <w:r w:rsidRPr="00A85DAB">
        <w:rPr>
          <w:rFonts w:asciiTheme="majorBidi" w:hAnsiTheme="majorBidi" w:cstheme="majorBidi"/>
          <w:rtl/>
        </w:rPr>
        <w:t>עיין במשנה ידים בעיון הרבה.  מה הטעם, לפי המשנה, דפוטרין הפרושים את האדם מלשלם על נזקי עבדו ואמתו.</w:t>
      </w:r>
    </w:p>
    <w:p w:rsidR="00E50FBC" w:rsidRDefault="00A85DAB" w:rsidP="00A85DAB">
      <w:pPr>
        <w:pStyle w:val="ListParagraph"/>
        <w:numPr>
          <w:ilvl w:val="0"/>
          <w:numId w:val="1"/>
        </w:numPr>
        <w:bidi/>
        <w:rPr>
          <w:rFonts w:asciiTheme="majorBidi" w:hAnsiTheme="majorBidi" w:cstheme="majorBidi"/>
        </w:rPr>
      </w:pPr>
      <w:r w:rsidRPr="00A85DAB">
        <w:rPr>
          <w:rFonts w:asciiTheme="majorBidi" w:hAnsiTheme="majorBidi" w:cstheme="majorBidi"/>
          <w:rtl/>
        </w:rPr>
        <w:t>עיין במשנה בפ"ח של ב"ק והשוה למשנה ידים.  במה הם שונים זה מזה ב</w:t>
      </w:r>
      <w:r>
        <w:rPr>
          <w:rFonts w:asciiTheme="majorBidi" w:hAnsiTheme="majorBidi" w:cstheme="majorBidi"/>
          <w:rtl/>
        </w:rPr>
        <w:t>ְּ</w:t>
      </w:r>
      <w:r w:rsidRPr="00A85DAB">
        <w:rPr>
          <w:rFonts w:asciiTheme="majorBidi" w:hAnsiTheme="majorBidi" w:cstheme="majorBidi"/>
          <w:rtl/>
        </w:rPr>
        <w:t>כִּיוו</w:t>
      </w:r>
      <w:r>
        <w:rPr>
          <w:rFonts w:asciiTheme="majorBidi" w:hAnsiTheme="majorBidi" w:cstheme="majorBidi"/>
          <w:rtl/>
        </w:rPr>
        <w:t>ּ</w:t>
      </w:r>
      <w:r w:rsidRPr="00A85DAB">
        <w:rPr>
          <w:rFonts w:asciiTheme="majorBidi" w:hAnsiTheme="majorBidi" w:cstheme="majorBidi"/>
          <w:rtl/>
        </w:rPr>
        <w:t>נ</w:t>
      </w:r>
      <w:r>
        <w:rPr>
          <w:rFonts w:asciiTheme="majorBidi" w:hAnsiTheme="majorBidi" w:cstheme="majorBidi"/>
          <w:rtl/>
        </w:rPr>
        <w:t>ָ</w:t>
      </w:r>
      <w:r w:rsidRPr="00A85DAB">
        <w:rPr>
          <w:rFonts w:asciiTheme="majorBidi" w:hAnsiTheme="majorBidi" w:cstheme="majorBidi"/>
          <w:rtl/>
        </w:rPr>
        <w:t>ם</w:t>
      </w:r>
      <w:r>
        <w:rPr>
          <w:rFonts w:asciiTheme="majorBidi" w:hAnsiTheme="majorBidi" w:cstheme="majorBidi" w:hint="cs"/>
          <w:rtl/>
        </w:rPr>
        <w:t>?  (עיין בשיטמ"ק למעלה)</w:t>
      </w:r>
    </w:p>
    <w:p w:rsidR="00A85DAB" w:rsidRDefault="00A85DAB" w:rsidP="00A85DAB">
      <w:pPr>
        <w:pStyle w:val="ListParagraph"/>
        <w:numPr>
          <w:ilvl w:val="0"/>
          <w:numId w:val="1"/>
        </w:numPr>
        <w:bidi/>
        <w:rPr>
          <w:rFonts w:asciiTheme="majorBidi" w:hAnsiTheme="majorBidi" w:cstheme="majorBidi" w:hint="cs"/>
        </w:rPr>
      </w:pPr>
      <w:r>
        <w:rPr>
          <w:rFonts w:asciiTheme="majorBidi" w:hAnsiTheme="majorBidi" w:cstheme="majorBidi" w:hint="cs"/>
          <w:rtl/>
        </w:rPr>
        <w:t>באר כל אחד מקושיות תוספות ד"ה מידי.</w:t>
      </w:r>
      <w:r w:rsidR="00071F6E">
        <w:rPr>
          <w:rFonts w:asciiTheme="majorBidi" w:hAnsiTheme="majorBidi" w:cstheme="majorBidi" w:hint="cs"/>
          <w:rtl/>
        </w:rPr>
        <w:t xml:space="preserve"> (עיין בתוספות רבינו פרץ ובמהר"ם)</w:t>
      </w:r>
      <w:bookmarkStart w:id="0" w:name="_GoBack"/>
      <w:bookmarkEnd w:id="0"/>
    </w:p>
    <w:p w:rsidR="00A85DAB" w:rsidRDefault="00A85DAB" w:rsidP="00A85DAB">
      <w:pPr>
        <w:pStyle w:val="ListParagraph"/>
        <w:numPr>
          <w:ilvl w:val="0"/>
          <w:numId w:val="1"/>
        </w:numPr>
        <w:bidi/>
        <w:rPr>
          <w:rFonts w:asciiTheme="majorBidi" w:hAnsiTheme="majorBidi" w:cstheme="majorBidi"/>
        </w:rPr>
      </w:pPr>
      <w:r>
        <w:rPr>
          <w:rFonts w:asciiTheme="majorBidi" w:hAnsiTheme="majorBidi" w:cstheme="majorBidi" w:hint="cs"/>
          <w:rtl/>
        </w:rPr>
        <w:t>מה יש לתמוה על דברי רב אשי בגמרא בנוגע להאיך צוטטו?</w:t>
      </w:r>
    </w:p>
    <w:p w:rsidR="00A85DAB" w:rsidRPr="00A85DAB" w:rsidRDefault="00A85DAB" w:rsidP="00A85DAB">
      <w:pPr>
        <w:pStyle w:val="ListParagraph"/>
        <w:numPr>
          <w:ilvl w:val="0"/>
          <w:numId w:val="1"/>
        </w:numPr>
        <w:bidi/>
        <w:rPr>
          <w:rFonts w:asciiTheme="majorBidi" w:hAnsiTheme="majorBidi" w:cstheme="majorBidi"/>
          <w:rtl/>
        </w:rPr>
      </w:pPr>
      <w:r>
        <w:rPr>
          <w:rFonts w:asciiTheme="majorBidi" w:hAnsiTheme="majorBidi" w:cstheme="majorBidi" w:hint="cs"/>
          <w:rtl/>
        </w:rPr>
        <w:t>[מה היתה נוסח המשנה לפני מסדרי הסוגיא?]</w:t>
      </w:r>
    </w:p>
    <w:sectPr w:rsidR="00A85DAB" w:rsidRPr="00A85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F7F0D"/>
    <w:multiLevelType w:val="hybridMultilevel"/>
    <w:tmpl w:val="A546D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AB"/>
    <w:rsid w:val="00071F6E"/>
    <w:rsid w:val="002733AB"/>
    <w:rsid w:val="008F732F"/>
    <w:rsid w:val="00A06D39"/>
    <w:rsid w:val="00A85DAB"/>
    <w:rsid w:val="00E50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300C"/>
  <w15:chartTrackingRefBased/>
  <w15:docId w15:val="{8CDF08B2-83F8-4D39-926B-3DB43ED2D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kjwieder</dc:creator>
  <cp:keywords/>
  <dc:description/>
  <cp:lastModifiedBy>kjwieder</cp:lastModifiedBy>
  <cp:revision>3</cp:revision>
  <dcterms:created xsi:type="dcterms:W3CDTF">2018-12-05T21:20:00Z</dcterms:created>
  <dcterms:modified xsi:type="dcterms:W3CDTF">2018-12-06T01:13:00Z</dcterms:modified>
</cp:coreProperties>
</file>