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BD" w:rsidRDefault="005B5C45" w:rsidP="005B5C45">
      <w:pPr>
        <w:spacing w:after="0"/>
        <w:jc w:val="center"/>
        <w:rPr>
          <w:u w:val="single"/>
        </w:rPr>
      </w:pPr>
      <w:proofErr w:type="gramStart"/>
      <w:r>
        <w:rPr>
          <w:rFonts w:hint="cs"/>
          <w:u w:val="single"/>
        </w:rPr>
        <w:t>ADHD</w:t>
      </w:r>
      <w:r>
        <w:rPr>
          <w:rFonts w:hint="cs"/>
          <w:u w:val="single"/>
          <w:rtl/>
        </w:rPr>
        <w:t xml:space="preserve"> </w:t>
      </w:r>
      <w:r>
        <w:rPr>
          <w:u w:val="single"/>
        </w:rPr>
        <w:t xml:space="preserve"> in</w:t>
      </w:r>
      <w:proofErr w:type="gramEnd"/>
      <w:r>
        <w:rPr>
          <w:u w:val="single"/>
        </w:rPr>
        <w:t xml:space="preserve"> the Beit Midrash</w:t>
      </w:r>
    </w:p>
    <w:p w:rsidR="00F1596C" w:rsidRPr="00F1596C" w:rsidRDefault="00F1596C" w:rsidP="005B5C45">
      <w:pPr>
        <w:spacing w:after="0"/>
        <w:jc w:val="center"/>
        <w:rPr>
          <w:sz w:val="18"/>
          <w:szCs w:val="18"/>
        </w:rPr>
      </w:pPr>
      <w:r>
        <w:rPr>
          <w:sz w:val="18"/>
          <w:szCs w:val="18"/>
        </w:rPr>
        <w:t>(</w:t>
      </w:r>
      <w:proofErr w:type="spellStart"/>
      <w:r>
        <w:rPr>
          <w:sz w:val="18"/>
          <w:szCs w:val="18"/>
        </w:rPr>
        <w:t>shiur</w:t>
      </w:r>
      <w:proofErr w:type="spellEnd"/>
      <w:r>
        <w:rPr>
          <w:sz w:val="18"/>
          <w:szCs w:val="18"/>
        </w:rPr>
        <w:t xml:space="preserve"> by Rabbi Elli Fischer)</w:t>
      </w:r>
      <w:bookmarkStart w:id="0" w:name="_GoBack"/>
      <w:bookmarkEnd w:id="0"/>
    </w:p>
    <w:p w:rsidR="00B031BD" w:rsidRDefault="00B031BD" w:rsidP="00B031BD">
      <w:pPr>
        <w:bidi/>
        <w:spacing w:after="0"/>
        <w:rPr>
          <w:u w:val="single"/>
        </w:rPr>
      </w:pPr>
    </w:p>
    <w:tbl>
      <w:tblPr>
        <w:tblStyle w:val="TableGrid"/>
        <w:tblW w:w="0" w:type="auto"/>
        <w:tblLook w:val="04A0" w:firstRow="1" w:lastRow="0" w:firstColumn="1" w:lastColumn="0" w:noHBand="0" w:noVBand="1"/>
      </w:tblPr>
      <w:tblGrid>
        <w:gridCol w:w="5328"/>
        <w:gridCol w:w="270"/>
        <w:gridCol w:w="3258"/>
      </w:tblGrid>
      <w:tr w:rsidR="00951FB3" w:rsidTr="004B05E3">
        <w:tc>
          <w:tcPr>
            <w:tcW w:w="8856" w:type="dxa"/>
            <w:gridSpan w:val="3"/>
          </w:tcPr>
          <w:p w:rsidR="00951FB3" w:rsidRDefault="00951FB3" w:rsidP="00951FB3">
            <w:pPr>
              <w:rPr>
                <w:u w:val="single"/>
              </w:rPr>
            </w:pPr>
            <w:proofErr w:type="spellStart"/>
            <w:r>
              <w:rPr>
                <w:u w:val="single"/>
              </w:rPr>
              <w:t>Kiddushin</w:t>
            </w:r>
            <w:proofErr w:type="spellEnd"/>
            <w:r>
              <w:rPr>
                <w:u w:val="single"/>
              </w:rPr>
              <w:t xml:space="preserve"> 29b</w:t>
            </w:r>
          </w:p>
        </w:tc>
      </w:tr>
      <w:tr w:rsidR="00951FB3" w:rsidTr="00951FB3">
        <w:tc>
          <w:tcPr>
            <w:tcW w:w="5598" w:type="dxa"/>
            <w:gridSpan w:val="2"/>
          </w:tcPr>
          <w:p w:rsidR="00951FB3" w:rsidRDefault="00951FB3" w:rsidP="00951FB3">
            <w:r>
              <w:t>Our rabbis taught: if he and his son must study, he takes precedence over his son. R. Yehuda says: if his son is energetic and seasoned, and his learning endures with him, his son takes precedence, like the case of R. Yaakov, son of R. A</w:t>
            </w:r>
            <w:r>
              <w:rPr>
                <w:u w:val="single"/>
              </w:rPr>
              <w:t>h</w:t>
            </w:r>
            <w:r>
              <w:t xml:space="preserve">a bar Yaakov. His father sent him to </w:t>
            </w:r>
            <w:proofErr w:type="spellStart"/>
            <w:r>
              <w:t>Abaye</w:t>
            </w:r>
            <w:proofErr w:type="spellEnd"/>
            <w:r>
              <w:t xml:space="preserve">. When he returned, he saw that his studies were not sharp. He said, “I am preferable to you. You return, for I am going.” </w:t>
            </w:r>
            <w:proofErr w:type="spellStart"/>
            <w:r>
              <w:t>Abaye</w:t>
            </w:r>
            <w:proofErr w:type="spellEnd"/>
            <w:r>
              <w:t xml:space="preserve"> heard that he was coming. There was a destructive force (“</w:t>
            </w:r>
            <w:proofErr w:type="spellStart"/>
            <w:r>
              <w:rPr>
                <w:i/>
                <w:iCs/>
              </w:rPr>
              <w:t>mazik</w:t>
            </w:r>
            <w:proofErr w:type="spellEnd"/>
            <w:r>
              <w:t xml:space="preserve">”) in </w:t>
            </w:r>
            <w:proofErr w:type="spellStart"/>
            <w:r>
              <w:t>Abaye’s</w:t>
            </w:r>
            <w:proofErr w:type="spellEnd"/>
            <w:r>
              <w:t xml:space="preserve"> rabbinic academy. When they entered in pairs, even during the day, they would be harmed. He [</w:t>
            </w:r>
            <w:proofErr w:type="spellStart"/>
            <w:r>
              <w:t>Abaye</w:t>
            </w:r>
            <w:proofErr w:type="spellEnd"/>
            <w:r>
              <w:t xml:space="preserve">] said to them: “Let no man give him lodging; perhaps a miracle will occur.” He entered and lodged in that rabbinic academy. It [the </w:t>
            </w:r>
            <w:proofErr w:type="spellStart"/>
            <w:r>
              <w:rPr>
                <w:i/>
                <w:iCs/>
              </w:rPr>
              <w:t>mazik</w:t>
            </w:r>
            <w:proofErr w:type="spellEnd"/>
            <w:r>
              <w:t>] appeared to him as a seven-headed serpent. Each time he bowed, a head fell off. He said to them on the morrow: “If the miracle had not occurred, I would have been endangered.”</w:t>
            </w:r>
          </w:p>
          <w:p w:rsidR="00951FB3" w:rsidRDefault="00951FB3" w:rsidP="00951FB3">
            <w:pPr>
              <w:rPr>
                <w:u w:val="single"/>
              </w:rPr>
            </w:pPr>
          </w:p>
        </w:tc>
        <w:tc>
          <w:tcPr>
            <w:tcW w:w="3258" w:type="dxa"/>
          </w:tcPr>
          <w:p w:rsidR="00951FB3" w:rsidRDefault="00951FB3" w:rsidP="00951FB3">
            <w:pPr>
              <w:bidi/>
              <w:rPr>
                <w:u w:val="single"/>
              </w:rPr>
            </w:pPr>
            <w:r>
              <w:rPr>
                <w:rtl/>
              </w:rPr>
              <w:t>ת"ר הוא ללמוד ובנו ללמוד הוא קודם לבנו ר' יהודה אומר אם בנו זריז וממולח ותלמודו מתקיים בידו בנו קודמו כי הא דרב יעקב בריה דרב אחא בר יעקב שדריה אבוה לקמיה דאביי כי אתא חזייה דלא הוה מיחדדין שמעתיה א"ל אנא עדיפא מינך תוב את דאיזיל אנא שמע אביי דקא הוה אתי הוה ההוא מזיק בי רבנן דאביי דכי הוו עיילי בתרין אפי' ביממא הוו מיתזקי אמר להו לא ליתיב ליה אינש אושפיזא אפשר דמתרחיש ניסא על בת בההוא בי רבנן אידמי ליה כתנינא דשבעה רישוותיה כל כריעה דכרע נתר חד רישיה אמר להו למחר אי לא איתרחיש ניסא סכינתין</w:t>
            </w:r>
            <w:r>
              <w:rPr>
                <w:rFonts w:hint="cs"/>
                <w:rtl/>
              </w:rPr>
              <w:t>.</w:t>
            </w:r>
          </w:p>
        </w:tc>
      </w:tr>
      <w:tr w:rsidR="00951FB3" w:rsidTr="005D19D7">
        <w:tc>
          <w:tcPr>
            <w:tcW w:w="8856" w:type="dxa"/>
            <w:gridSpan w:val="3"/>
          </w:tcPr>
          <w:p w:rsidR="00951FB3" w:rsidRPr="00951FB3" w:rsidRDefault="00951FB3" w:rsidP="00951FB3">
            <w:pPr>
              <w:rPr>
                <w:i/>
                <w:iCs/>
                <w:u w:val="single"/>
              </w:rPr>
            </w:pPr>
            <w:proofErr w:type="spellStart"/>
            <w:r>
              <w:rPr>
                <w:u w:val="single"/>
              </w:rPr>
              <w:t>Maharal</w:t>
            </w:r>
            <w:proofErr w:type="spellEnd"/>
            <w:r>
              <w:rPr>
                <w:u w:val="single"/>
              </w:rPr>
              <w:t xml:space="preserve">, </w:t>
            </w:r>
            <w:proofErr w:type="spellStart"/>
            <w:r>
              <w:rPr>
                <w:i/>
                <w:iCs/>
                <w:u w:val="single"/>
              </w:rPr>
              <w:t>Hiddushei</w:t>
            </w:r>
            <w:proofErr w:type="spellEnd"/>
            <w:r>
              <w:rPr>
                <w:i/>
                <w:iCs/>
                <w:u w:val="single"/>
              </w:rPr>
              <w:t xml:space="preserve"> </w:t>
            </w:r>
            <w:proofErr w:type="spellStart"/>
            <w:r>
              <w:rPr>
                <w:i/>
                <w:iCs/>
                <w:u w:val="single"/>
              </w:rPr>
              <w:t>Aggadot</w:t>
            </w:r>
            <w:proofErr w:type="spellEnd"/>
            <w:r>
              <w:rPr>
                <w:i/>
                <w:iCs/>
                <w:u w:val="single"/>
              </w:rPr>
              <w:t xml:space="preserve"> ad loc.</w:t>
            </w:r>
          </w:p>
        </w:tc>
      </w:tr>
      <w:tr w:rsidR="00951FB3" w:rsidTr="00951FB3">
        <w:tc>
          <w:tcPr>
            <w:tcW w:w="5598" w:type="dxa"/>
            <w:gridSpan w:val="2"/>
          </w:tcPr>
          <w:p w:rsidR="00951FB3" w:rsidRDefault="00AF2A5B" w:rsidP="00951FB3">
            <w:r>
              <w:t xml:space="preserve">Know that seven is always a number of </w:t>
            </w:r>
            <w:proofErr w:type="gramStart"/>
            <w:r>
              <w:t>multiplicity</w:t>
            </w:r>
            <w:proofErr w:type="gramEnd"/>
            <w:r>
              <w:t>… and demons derive their power from multiplicity, for they are the antithesis of oneness…</w:t>
            </w:r>
            <w:r w:rsidR="00A0713A">
              <w:t>and they have powers specifically over pairs.</w:t>
            </w:r>
          </w:p>
          <w:p w:rsidR="00A0713A" w:rsidRPr="00AF2A5B" w:rsidRDefault="00A0713A" w:rsidP="00951FB3"/>
        </w:tc>
        <w:tc>
          <w:tcPr>
            <w:tcW w:w="3258" w:type="dxa"/>
          </w:tcPr>
          <w:p w:rsidR="00951FB3" w:rsidRPr="00951FB3" w:rsidRDefault="00951FB3" w:rsidP="00951FB3">
            <w:pPr>
              <w:bidi/>
              <w:rPr>
                <w:rtl/>
              </w:rPr>
            </w:pPr>
            <w:r>
              <w:rPr>
                <w:rFonts w:hint="cs"/>
                <w:rtl/>
              </w:rPr>
              <w:t>ודע כי השבעה תמצא תמיד על מספר הריבוי...והשדים כוחם הרבוי כי הם הפך האחדות...והם שולטים על הזוגות דוקא</w:t>
            </w:r>
          </w:p>
        </w:tc>
      </w:tr>
      <w:tr w:rsidR="00A0713A" w:rsidTr="00726178">
        <w:tc>
          <w:tcPr>
            <w:tcW w:w="8856" w:type="dxa"/>
            <w:gridSpan w:val="3"/>
          </w:tcPr>
          <w:p w:rsidR="00A0713A" w:rsidRDefault="00A0713A" w:rsidP="00951FB3">
            <w:pPr>
              <w:rPr>
                <w:u w:val="single"/>
              </w:rPr>
            </w:pPr>
            <w:proofErr w:type="spellStart"/>
            <w:r>
              <w:rPr>
                <w:u w:val="single"/>
              </w:rPr>
              <w:t>Berakhot</w:t>
            </w:r>
            <w:proofErr w:type="spellEnd"/>
            <w:r>
              <w:rPr>
                <w:u w:val="single"/>
              </w:rPr>
              <w:t xml:space="preserve"> 48a</w:t>
            </w:r>
          </w:p>
        </w:tc>
      </w:tr>
      <w:tr w:rsidR="00951FB3" w:rsidTr="00951FB3">
        <w:tc>
          <w:tcPr>
            <w:tcW w:w="5598" w:type="dxa"/>
            <w:gridSpan w:val="2"/>
          </w:tcPr>
          <w:p w:rsidR="00951FB3" w:rsidRDefault="00A0713A" w:rsidP="00951FB3">
            <w:proofErr w:type="spellStart"/>
            <w:r>
              <w:t>Abaye</w:t>
            </w:r>
            <w:proofErr w:type="spellEnd"/>
            <w:r>
              <w:t xml:space="preserve"> and </w:t>
            </w:r>
            <w:proofErr w:type="spellStart"/>
            <w:r>
              <w:t>Rava</w:t>
            </w:r>
            <w:proofErr w:type="spellEnd"/>
            <w:r>
              <w:t xml:space="preserve"> were sitting before </w:t>
            </w:r>
            <w:proofErr w:type="spellStart"/>
            <w:r>
              <w:t>Rabbah</w:t>
            </w:r>
            <w:proofErr w:type="spellEnd"/>
            <w:r>
              <w:t xml:space="preserve">. </w:t>
            </w:r>
            <w:proofErr w:type="spellStart"/>
            <w:r>
              <w:t>Rabbah</w:t>
            </w:r>
            <w:proofErr w:type="spellEnd"/>
            <w:r>
              <w:t xml:space="preserve"> said to them: “To whom do we bless?” They said to him: “To the Merciful One.” “And where does the Merciful One dwell?” </w:t>
            </w:r>
            <w:proofErr w:type="spellStart"/>
            <w:r>
              <w:t>Rava</w:t>
            </w:r>
            <w:proofErr w:type="spellEnd"/>
            <w:r>
              <w:t xml:space="preserve"> pointed to the roof beams. </w:t>
            </w:r>
            <w:proofErr w:type="spellStart"/>
            <w:r>
              <w:t>Abaye</w:t>
            </w:r>
            <w:proofErr w:type="spellEnd"/>
            <w:r>
              <w:t xml:space="preserve"> went outside and pointed toward the sky. </w:t>
            </w:r>
            <w:proofErr w:type="spellStart"/>
            <w:r>
              <w:t>Rabbah</w:t>
            </w:r>
            <w:proofErr w:type="spellEnd"/>
            <w:r>
              <w:t xml:space="preserve"> said to them: “You will both be rabbis.” This is what people say: “Gourds are known by their sap.”</w:t>
            </w:r>
          </w:p>
          <w:p w:rsidR="00A0713A" w:rsidRPr="00A0713A" w:rsidRDefault="00A0713A" w:rsidP="00951FB3"/>
        </w:tc>
        <w:tc>
          <w:tcPr>
            <w:tcW w:w="3258" w:type="dxa"/>
          </w:tcPr>
          <w:p w:rsidR="00951FB3" w:rsidRDefault="00A0713A" w:rsidP="00A0713A">
            <w:pPr>
              <w:bidi/>
              <w:rPr>
                <w:u w:val="single"/>
              </w:rPr>
            </w:pPr>
            <w:r>
              <w:rPr>
                <w:rtl/>
              </w:rPr>
              <w:t>אביי ורבא הוו יתבי קמיה דרבה אמר להו רבה למי מברכין אמרי ליה לרחמנא ורחמנא היכא יתיב רבא אחוי לשמי טללא אביי נפק לברא אחוי כלפי שמיא אמר להו רבה תרווייכו רבנן הויתו היינו דאמרי אינשי . בוצין בוצין מקטפיה ידיע</w:t>
            </w:r>
          </w:p>
        </w:tc>
      </w:tr>
      <w:tr w:rsidR="00A0713A" w:rsidTr="00763CAE">
        <w:tc>
          <w:tcPr>
            <w:tcW w:w="8856" w:type="dxa"/>
            <w:gridSpan w:val="3"/>
          </w:tcPr>
          <w:p w:rsidR="00A0713A" w:rsidRDefault="00A0713A" w:rsidP="00951FB3">
            <w:pPr>
              <w:rPr>
                <w:u w:val="single"/>
              </w:rPr>
            </w:pPr>
            <w:r>
              <w:rPr>
                <w:u w:val="single"/>
              </w:rPr>
              <w:t xml:space="preserve">R. Avraham Yitzhak Kook, </w:t>
            </w:r>
            <w:proofErr w:type="spellStart"/>
            <w:r>
              <w:rPr>
                <w:i/>
                <w:iCs/>
                <w:u w:val="single"/>
              </w:rPr>
              <w:t>Eyn</w:t>
            </w:r>
            <w:proofErr w:type="spellEnd"/>
            <w:r>
              <w:rPr>
                <w:i/>
                <w:iCs/>
                <w:u w:val="single"/>
              </w:rPr>
              <w:t xml:space="preserve"> Ayah ad loc.</w:t>
            </w:r>
          </w:p>
        </w:tc>
      </w:tr>
      <w:tr w:rsidR="00951FB3" w:rsidTr="00993052">
        <w:tc>
          <w:tcPr>
            <w:tcW w:w="5328" w:type="dxa"/>
          </w:tcPr>
          <w:p w:rsidR="00951FB3" w:rsidRDefault="00A0713A" w:rsidP="00361FE5">
            <w:r>
              <w:t xml:space="preserve">So </w:t>
            </w:r>
            <w:proofErr w:type="spellStart"/>
            <w:r>
              <w:t>Rava</w:t>
            </w:r>
            <w:proofErr w:type="spellEnd"/>
            <w:r>
              <w:t xml:space="preserve"> pointed to the roof beams, for his tendency was toward diligence in Torah and the seeking of the entire truth</w:t>
            </w:r>
            <w:r w:rsidR="009A3B5D">
              <w:t xml:space="preserve"> in its defined details. In this he will come to recognize his Maker. This tendency governed him in his youth as well, finding respite in the shade of the tent. And through this he reaches an ex</w:t>
            </w:r>
            <w:r w:rsidR="00361FE5">
              <w:t xml:space="preserve">alted consciousness and respite. </w:t>
            </w:r>
            <w:proofErr w:type="spellStart"/>
            <w:r w:rsidR="00361FE5">
              <w:t>Abaye</w:t>
            </w:r>
            <w:proofErr w:type="spellEnd"/>
            <w:r w:rsidR="00361FE5">
              <w:t xml:space="preserve">, however, </w:t>
            </w:r>
            <w:r w:rsidR="00993052">
              <w:t xml:space="preserve">strove for breadth of knowledge through inner understanding that transcends all boundaries. His inner nature drove him to express the stirrings of his soul expressed in “Where does the </w:t>
            </w:r>
            <w:r w:rsidR="00993052">
              <w:lastRenderedPageBreak/>
              <w:t xml:space="preserve">Merciful One dwell?” by going outside and pointing to the sky, to the boundless space… it is possible that one who follows the path of defined wisdom is closer to practical wisdom, so with regard to </w:t>
            </w:r>
            <w:r w:rsidR="00993052">
              <w:rPr>
                <w:i/>
                <w:iCs/>
              </w:rPr>
              <w:t>halakha</w:t>
            </w:r>
            <w:r w:rsidR="00993052">
              <w:t xml:space="preserve"> he might be more accurate, so that the </w:t>
            </w:r>
            <w:r w:rsidR="00993052">
              <w:rPr>
                <w:i/>
                <w:iCs/>
              </w:rPr>
              <w:t>halakha</w:t>
            </w:r>
            <w:r w:rsidR="00993052">
              <w:t xml:space="preserve"> accords with him…</w:t>
            </w:r>
          </w:p>
          <w:p w:rsidR="00993052" w:rsidRPr="00993052" w:rsidRDefault="00993052" w:rsidP="00361FE5"/>
        </w:tc>
        <w:tc>
          <w:tcPr>
            <w:tcW w:w="3528" w:type="dxa"/>
            <w:gridSpan w:val="2"/>
          </w:tcPr>
          <w:p w:rsidR="00951FB3" w:rsidRDefault="00A0713A" w:rsidP="00A0713A">
            <w:pPr>
              <w:bidi/>
              <w:rPr>
                <w:u w:val="single"/>
              </w:rPr>
            </w:pPr>
            <w:r>
              <w:rPr>
                <w:rtl/>
              </w:rPr>
              <w:lastRenderedPageBreak/>
              <w:t xml:space="preserve">ע"כ רבא אחוי לשמי' טללא. כי היתה נטייתו אל שקידת התורה ודרישת כל אמת בפרטיהם המוגבלים ובזה יבא להכרת קונו יתברך, וזאת הנטיה משלה בנפשו גם בילדות, למצא מנוחה ג"כ בצל אהל, ובזה יבא אל המנוחה והתעודה הרוממה. אביי אמנם שאף אל הרחבת הידיעה בההכרה הפנימית שמתנשאת אל למעלה מכל גבול, ודחקו טבעו הפנימי לבטא רגשות נפשו ברחמנא היכי יתיב ע"י דנפיק לברא </w:t>
            </w:r>
            <w:r>
              <w:rPr>
                <w:rtl/>
              </w:rPr>
              <w:lastRenderedPageBreak/>
              <w:t>ואחוי כלפי שמיא אל מרחב אין קץ.</w:t>
            </w:r>
            <w:r>
              <w:rPr>
                <w:rFonts w:hint="cs"/>
                <w:rtl/>
              </w:rPr>
              <w:t>..</w:t>
            </w:r>
            <w:r>
              <w:rPr>
                <w:rtl/>
              </w:rPr>
              <w:t xml:space="preserve"> ויוכל היות שמי שהולך על דרך החכמה המוגבלת הוא יותר קרוב להחכמה המעשית</w:t>
            </w:r>
            <w:r>
              <w:t xml:space="preserve">, </w:t>
            </w:r>
            <w:r>
              <w:rPr>
                <w:rtl/>
              </w:rPr>
              <w:t>ע"כ לענין הלכה יוכל להיות מכוין יותר שתהי' הלכה כמותו.</w:t>
            </w:r>
            <w:r>
              <w:rPr>
                <w:rFonts w:hint="cs"/>
                <w:rtl/>
              </w:rPr>
              <w:t>..</w:t>
            </w:r>
          </w:p>
        </w:tc>
      </w:tr>
      <w:tr w:rsidR="00993052" w:rsidTr="00444DF5">
        <w:tc>
          <w:tcPr>
            <w:tcW w:w="8856" w:type="dxa"/>
            <w:gridSpan w:val="3"/>
          </w:tcPr>
          <w:p w:rsidR="00993052" w:rsidRPr="00993052" w:rsidRDefault="00993052" w:rsidP="00993052">
            <w:pPr>
              <w:rPr>
                <w:rtl/>
              </w:rPr>
            </w:pPr>
            <w:proofErr w:type="spellStart"/>
            <w:r>
              <w:rPr>
                <w:u w:val="single"/>
              </w:rPr>
              <w:lastRenderedPageBreak/>
              <w:t>Netziv</w:t>
            </w:r>
            <w:proofErr w:type="spellEnd"/>
            <w:r w:rsidRPr="00993052">
              <w:rPr>
                <w:i/>
                <w:iCs/>
                <w:u w:val="single"/>
              </w:rPr>
              <w:t xml:space="preserve">, </w:t>
            </w:r>
            <w:proofErr w:type="spellStart"/>
            <w:r w:rsidRPr="00993052">
              <w:rPr>
                <w:i/>
                <w:iCs/>
                <w:u w:val="single"/>
              </w:rPr>
              <w:t>Ha’amek</w:t>
            </w:r>
            <w:proofErr w:type="spellEnd"/>
            <w:r w:rsidRPr="00993052">
              <w:rPr>
                <w:i/>
                <w:iCs/>
                <w:u w:val="single"/>
              </w:rPr>
              <w:t xml:space="preserve"> </w:t>
            </w:r>
            <w:proofErr w:type="spellStart"/>
            <w:r>
              <w:rPr>
                <w:i/>
                <w:iCs/>
                <w:u w:val="single"/>
              </w:rPr>
              <w:t>Davar</w:t>
            </w:r>
            <w:proofErr w:type="spellEnd"/>
            <w:r>
              <w:rPr>
                <w:u w:val="single"/>
              </w:rPr>
              <w:t xml:space="preserve"> on </w:t>
            </w:r>
            <w:proofErr w:type="spellStart"/>
            <w:r>
              <w:rPr>
                <w:u w:val="single"/>
              </w:rPr>
              <w:t>Shemot</w:t>
            </w:r>
            <w:proofErr w:type="spellEnd"/>
            <w:r>
              <w:rPr>
                <w:u w:val="single"/>
              </w:rPr>
              <w:t xml:space="preserve"> 37:19</w:t>
            </w:r>
          </w:p>
        </w:tc>
      </w:tr>
      <w:tr w:rsidR="00993052" w:rsidTr="00993052">
        <w:tc>
          <w:tcPr>
            <w:tcW w:w="5328" w:type="dxa"/>
          </w:tcPr>
          <w:p w:rsidR="00993052" w:rsidRPr="005D595F" w:rsidRDefault="00955C3C" w:rsidP="00955C3C">
            <w:r>
              <w:t xml:space="preserve">… </w:t>
            </w:r>
            <w:proofErr w:type="gramStart"/>
            <w:r>
              <w:t>the</w:t>
            </w:r>
            <w:proofErr w:type="gramEnd"/>
            <w:r>
              <w:t xml:space="preserve"> </w:t>
            </w:r>
            <w:r>
              <w:rPr>
                <w:i/>
                <w:iCs/>
              </w:rPr>
              <w:t>menorah</w:t>
            </w:r>
            <w:r>
              <w:t xml:space="preserve"> generally alludes to the wisdom of the Torah, and the six branches of the </w:t>
            </w:r>
            <w:r>
              <w:rPr>
                <w:i/>
                <w:iCs/>
              </w:rPr>
              <w:t>menorah</w:t>
            </w:r>
            <w:r>
              <w:t>, with the central branch, are the seven external disciplines that are subordinate to Torah, for the Torah requires them in order to be explained. On these are engraves goblets, for the Torah nourishes the disciplines and the disciplines nourish wisdom</w:t>
            </w:r>
            <w:r w:rsidR="005D595F">
              <w:t xml:space="preserve"> to understand the particulars of God’s word. And [engraved] with almond designs (</w:t>
            </w:r>
            <w:proofErr w:type="spellStart"/>
            <w:r w:rsidR="005D595F">
              <w:rPr>
                <w:i/>
                <w:iCs/>
              </w:rPr>
              <w:t>meshukadim</w:t>
            </w:r>
            <w:proofErr w:type="spellEnd"/>
            <w:r w:rsidR="005D595F">
              <w:t>) – for all of this only comes about through diligence (</w:t>
            </w:r>
            <w:proofErr w:type="spellStart"/>
            <w:r w:rsidR="005D595F">
              <w:rPr>
                <w:i/>
                <w:iCs/>
              </w:rPr>
              <w:t>shekida</w:t>
            </w:r>
            <w:proofErr w:type="spellEnd"/>
            <w:r w:rsidR="005D595F">
              <w:t>)… there is special purpose for diligence specifically in that wisdom and no other…</w:t>
            </w:r>
          </w:p>
        </w:tc>
        <w:tc>
          <w:tcPr>
            <w:tcW w:w="3528" w:type="dxa"/>
            <w:gridSpan w:val="2"/>
          </w:tcPr>
          <w:p w:rsidR="00993052" w:rsidRDefault="00955C3C" w:rsidP="005D595F">
            <w:pPr>
              <w:bidi/>
              <w:rPr>
                <w:rtl/>
              </w:rPr>
            </w:pPr>
            <w:r>
              <w:rPr>
                <w:rFonts w:hint="cs"/>
                <w:rtl/>
              </w:rPr>
              <w:t>...</w:t>
            </w:r>
            <w:r>
              <w:rPr>
                <w:rtl/>
              </w:rPr>
              <w:t xml:space="preserve"> המנורה בכלל מרמזת להאיר על חכמתה של תורה, בפלפול וחקירה ועיון</w:t>
            </w:r>
            <w:r>
              <w:t xml:space="preserve">, </w:t>
            </w:r>
            <w:r>
              <w:rPr>
                <w:rtl/>
              </w:rPr>
              <w:t>וששה קני מנורה עם הקנה האמצעי המה ז</w:t>
            </w:r>
            <w:r>
              <w:t xml:space="preserve">' </w:t>
            </w:r>
            <w:r>
              <w:rPr>
                <w:rtl/>
              </w:rPr>
              <w:t>חכמות חיצוניות הטפלים לתורה</w:t>
            </w:r>
            <w:r>
              <w:rPr>
                <w:rFonts w:hint="cs"/>
                <w:rtl/>
              </w:rPr>
              <w:t>,</w:t>
            </w:r>
            <w:r>
              <w:t xml:space="preserve"> </w:t>
            </w:r>
            <w:r>
              <w:rPr>
                <w:rtl/>
              </w:rPr>
              <w:t>ושהתורה צריכה להם להתפרש, ועל זה מצויר גביעים</w:t>
            </w:r>
            <w:r>
              <w:t xml:space="preserve">, </w:t>
            </w:r>
            <w:r>
              <w:rPr>
                <w:rtl/>
              </w:rPr>
              <w:t>שהתורה משקה בחכמות</w:t>
            </w:r>
            <w:r>
              <w:t xml:space="preserve">, </w:t>
            </w:r>
            <w:r>
              <w:rPr>
                <w:rtl/>
              </w:rPr>
              <w:t>והחכמות משקים הדעת להבין דקדוקי דבר ה</w:t>
            </w:r>
            <w:r>
              <w:rPr>
                <w:rFonts w:hint="cs"/>
                <w:rtl/>
              </w:rPr>
              <w:t xml:space="preserve">', </w:t>
            </w:r>
            <w:r>
              <w:rPr>
                <w:rtl/>
              </w:rPr>
              <w:t>ומשוקדים, שכל זה אינו בא אלא על ידי שקידה</w:t>
            </w:r>
            <w:r w:rsidR="005D595F">
              <w:rPr>
                <w:rFonts w:hint="cs"/>
                <w:rtl/>
              </w:rPr>
              <w:t>...</w:t>
            </w:r>
            <w:r>
              <w:rPr>
                <w:rtl/>
              </w:rPr>
              <w:t xml:space="preserve"> ויש תועלת מיוחדת על ידי שקידה דוקא לאותה חכמה ולא זולתה, ועל זה אמר בקנה האחד, המיוחד</w:t>
            </w:r>
            <w:r>
              <w:rPr>
                <w:rFonts w:hint="cs"/>
                <w:rtl/>
              </w:rPr>
              <w:t>...</w:t>
            </w:r>
          </w:p>
        </w:tc>
      </w:tr>
      <w:tr w:rsidR="00993052" w:rsidTr="0038723C">
        <w:tc>
          <w:tcPr>
            <w:tcW w:w="8856" w:type="dxa"/>
            <w:gridSpan w:val="3"/>
          </w:tcPr>
          <w:p w:rsidR="00993052" w:rsidRPr="002B4B28" w:rsidRDefault="00993052" w:rsidP="00993052">
            <w:pPr>
              <w:jc w:val="both"/>
              <w:rPr>
                <w:rFonts w:cs="Times New Roman"/>
                <w:u w:val="single"/>
              </w:rPr>
            </w:pPr>
            <w:r w:rsidRPr="002B4B28">
              <w:rPr>
                <w:rFonts w:cs="Times New Roman"/>
                <w:u w:val="single"/>
              </w:rPr>
              <w:t xml:space="preserve">R. Aharon Lichtenstein, “Centrist Orthodoxy: A Spiritual Accounting”, </w:t>
            </w:r>
            <w:r w:rsidRPr="002B4B28">
              <w:rPr>
                <w:rFonts w:cs="Times New Roman"/>
                <w:i/>
                <w:iCs/>
                <w:u w:val="single"/>
              </w:rPr>
              <w:t>By His Light</w:t>
            </w:r>
            <w:r w:rsidRPr="002B4B28">
              <w:rPr>
                <w:rFonts w:cs="Times New Roman"/>
                <w:u w:val="single"/>
              </w:rPr>
              <w:t>, p. 247</w:t>
            </w:r>
          </w:p>
          <w:p w:rsidR="00993052" w:rsidRPr="00993052" w:rsidRDefault="00993052" w:rsidP="00993052">
            <w:pPr>
              <w:rPr>
                <w:rFonts w:cs="Times New Roman"/>
                <w:rtl/>
              </w:rPr>
            </w:pPr>
            <w:r w:rsidRPr="00D35908">
              <w:rPr>
                <w:rFonts w:cs="Times New Roman"/>
              </w:rPr>
              <w:t xml:space="preserve">Diffusion does entail, almost inevitably, some measure of dilution, and the pure Torah component within a "Torah </w:t>
            </w:r>
            <w:proofErr w:type="spellStart"/>
            <w:r w:rsidRPr="00D35908">
              <w:rPr>
                <w:rFonts w:cs="Times New Roman"/>
              </w:rPr>
              <w:t>im</w:t>
            </w:r>
            <w:proofErr w:type="spellEnd"/>
            <w:r w:rsidRPr="00D35908">
              <w:rPr>
                <w:rFonts w:cs="Times New Roman"/>
              </w:rPr>
              <w:t xml:space="preserve"> </w:t>
            </w:r>
            <w:proofErr w:type="spellStart"/>
            <w:r w:rsidRPr="00D35908">
              <w:rPr>
                <w:rFonts w:cs="Times New Roman"/>
              </w:rPr>
              <w:t>derekh</w:t>
            </w:r>
            <w:proofErr w:type="spellEnd"/>
            <w:r w:rsidRPr="00D35908">
              <w:rPr>
                <w:rFonts w:cs="Times New Roman"/>
              </w:rPr>
              <w:t xml:space="preserve"> </w:t>
            </w:r>
            <w:proofErr w:type="spellStart"/>
            <w:r w:rsidRPr="00D35908">
              <w:rPr>
                <w:rFonts w:cs="Times New Roman"/>
              </w:rPr>
              <w:t>eretz</w:t>
            </w:r>
            <w:proofErr w:type="spellEnd"/>
            <w:r w:rsidRPr="00D35908">
              <w:rPr>
                <w:rFonts w:cs="Times New Roman"/>
              </w:rPr>
              <w:t>" approach is indeed likely to command less single-minded loyalty than the unitary goal pursued by the "</w:t>
            </w:r>
            <w:proofErr w:type="spellStart"/>
            <w:r w:rsidRPr="00D35908">
              <w:rPr>
                <w:rFonts w:cs="Times New Roman"/>
              </w:rPr>
              <w:t>shemen</w:t>
            </w:r>
            <w:proofErr w:type="spellEnd"/>
            <w:r w:rsidRPr="00D35908">
              <w:rPr>
                <w:rFonts w:cs="Times New Roman"/>
              </w:rPr>
              <w:t xml:space="preserve"> </w:t>
            </w:r>
            <w:proofErr w:type="spellStart"/>
            <w:r w:rsidRPr="00D35908">
              <w:rPr>
                <w:rFonts w:cs="Times New Roman"/>
              </w:rPr>
              <w:t>zayit</w:t>
            </w:r>
            <w:proofErr w:type="spellEnd"/>
            <w:r w:rsidRPr="00D35908">
              <w:rPr>
                <w:rFonts w:cs="Times New Roman"/>
              </w:rPr>
              <w:t xml:space="preserve"> </w:t>
            </w:r>
            <w:proofErr w:type="spellStart"/>
            <w:r w:rsidRPr="00D35908">
              <w:rPr>
                <w:rFonts w:cs="Times New Roman"/>
              </w:rPr>
              <w:t>zakh</w:t>
            </w:r>
            <w:proofErr w:type="spellEnd"/>
            <w:r w:rsidRPr="00D35908">
              <w:rPr>
                <w:rFonts w:cs="Times New Roman"/>
              </w:rPr>
              <w:t>."</w:t>
            </w:r>
          </w:p>
        </w:tc>
      </w:tr>
    </w:tbl>
    <w:p w:rsidR="00993052" w:rsidRPr="00B031BD" w:rsidRDefault="00993052" w:rsidP="00320A9B">
      <w:pPr>
        <w:rPr>
          <w:rFonts w:cs="Times New Roman"/>
        </w:rPr>
      </w:pPr>
    </w:p>
    <w:sectPr w:rsidR="00993052" w:rsidRPr="00B031BD" w:rsidSect="00AF2A5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242AE"/>
    <w:rsid w:val="000C2C74"/>
    <w:rsid w:val="000E69C1"/>
    <w:rsid w:val="00121F02"/>
    <w:rsid w:val="00135CB5"/>
    <w:rsid w:val="001A0B6D"/>
    <w:rsid w:val="001A42A7"/>
    <w:rsid w:val="001B2423"/>
    <w:rsid w:val="001F0E43"/>
    <w:rsid w:val="002E4070"/>
    <w:rsid w:val="00320A9B"/>
    <w:rsid w:val="003242AE"/>
    <w:rsid w:val="00361FE5"/>
    <w:rsid w:val="00376D5E"/>
    <w:rsid w:val="004A2450"/>
    <w:rsid w:val="00593E8D"/>
    <w:rsid w:val="005B5C45"/>
    <w:rsid w:val="005D595F"/>
    <w:rsid w:val="00795D83"/>
    <w:rsid w:val="0088024F"/>
    <w:rsid w:val="00951FB3"/>
    <w:rsid w:val="00955C3C"/>
    <w:rsid w:val="00970ABF"/>
    <w:rsid w:val="00993052"/>
    <w:rsid w:val="009A3B5D"/>
    <w:rsid w:val="00A0713A"/>
    <w:rsid w:val="00AF2A5B"/>
    <w:rsid w:val="00B031BD"/>
    <w:rsid w:val="00B542F9"/>
    <w:rsid w:val="00BB6F1C"/>
    <w:rsid w:val="00C17845"/>
    <w:rsid w:val="00DE0540"/>
    <w:rsid w:val="00E27598"/>
    <w:rsid w:val="00E8209B"/>
    <w:rsid w:val="00F1596C"/>
    <w:rsid w:val="00FB67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C1"/>
    <w:rPr>
      <w:rFonts w:ascii="Tahoma" w:hAnsi="Tahoma" w:cs="Tahoma"/>
      <w:sz w:val="16"/>
      <w:szCs w:val="16"/>
    </w:rPr>
  </w:style>
  <w:style w:type="table" w:styleId="TableGrid">
    <w:name w:val="Table Grid"/>
    <w:basedOn w:val="TableNormal"/>
    <w:uiPriority w:val="59"/>
    <w:rsid w:val="00951F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8796-BCE6-404C-9D8B-5A73170A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759</Words>
  <Characters>4330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Fischer</dc:creator>
  <cp:lastModifiedBy>Elli</cp:lastModifiedBy>
  <cp:revision>4</cp:revision>
  <dcterms:created xsi:type="dcterms:W3CDTF">2014-12-12T16:29:00Z</dcterms:created>
  <dcterms:modified xsi:type="dcterms:W3CDTF">2015-05-15T14:30:00Z</dcterms:modified>
</cp:coreProperties>
</file>