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16623" w14:textId="77777777" w:rsidR="008E3BD3" w:rsidRPr="00AA4DBA" w:rsidRDefault="008E3BD3" w:rsidP="008E3BD3">
      <w:pPr>
        <w:pStyle w:val="Title"/>
        <w:bidi/>
        <w:rPr>
          <w:sz w:val="32"/>
          <w:szCs w:val="32"/>
          <w:rtl/>
        </w:rPr>
      </w:pPr>
      <w:r w:rsidRPr="00AA4DBA">
        <w:rPr>
          <w:rFonts w:hint="cs"/>
          <w:sz w:val="72"/>
          <w:szCs w:val="72"/>
          <w:rtl/>
        </w:rPr>
        <w:t>עזר לצב</w:t>
      </w:r>
      <w:bookmarkStart w:id="0" w:name="_GoBack"/>
      <w:bookmarkEnd w:id="0"/>
      <w:r w:rsidRPr="00AA4DBA">
        <w:rPr>
          <w:rFonts w:hint="cs"/>
          <w:sz w:val="72"/>
          <w:szCs w:val="72"/>
          <w:rtl/>
        </w:rPr>
        <w:t>י</w:t>
      </w:r>
      <w:r w:rsidRPr="00AA4DBA">
        <w:rPr>
          <w:rFonts w:hint="cs"/>
          <w:sz w:val="32"/>
          <w:szCs w:val="32"/>
          <w:rtl/>
        </w:rPr>
        <w:t xml:space="preserve"> </w:t>
      </w:r>
    </w:p>
    <w:p w14:paraId="43680942" w14:textId="2DC1B175" w:rsidR="008E3BD3" w:rsidRPr="008E3BD3" w:rsidRDefault="00104BFF" w:rsidP="00E303F7">
      <w:pPr>
        <w:pStyle w:val="Subtitle"/>
        <w:rPr>
          <w:rtl/>
        </w:rPr>
      </w:pPr>
      <w:r>
        <w:rPr>
          <w:rFonts w:hint="cs"/>
          <w:rtl/>
        </w:rPr>
        <w:t>א</w:t>
      </w:r>
      <w:r w:rsidR="00E303F7">
        <w:rPr>
          <w:rFonts w:hint="cs"/>
          <w:rtl/>
        </w:rPr>
        <w:t>יני יודע בבדיקות</w:t>
      </w:r>
      <w:r w:rsidR="00E303F7">
        <w:rPr>
          <w:rtl/>
        </w:rPr>
        <w:br/>
      </w:r>
      <w:r w:rsidR="00E303F7">
        <w:rPr>
          <w:rFonts w:hint="cs"/>
          <w:rtl/>
        </w:rPr>
        <w:t>אי אתה יכול להזימה</w:t>
      </w:r>
    </w:p>
    <w:p w14:paraId="0937F9D4" w14:textId="7C2FB07C" w:rsidR="008E3BD3" w:rsidRDefault="00D05E29" w:rsidP="008E3BD3">
      <w:pPr>
        <w:pStyle w:val="Heading1"/>
      </w:pPr>
      <w:r>
        <w:rPr>
          <w:rFonts w:hint="cs"/>
          <w:rtl/>
        </w:rPr>
        <w:t>איני יודע בבדיקות ועדות שאי אתה להזימה</w:t>
      </w:r>
    </w:p>
    <w:p w14:paraId="4377ED1E" w14:textId="2E041A54" w:rsidR="008E3BD3" w:rsidRDefault="00FB084C" w:rsidP="008E3BD3">
      <w:pPr>
        <w:pStyle w:val="Heading2"/>
        <w:rPr>
          <w:rtl/>
        </w:rPr>
      </w:pPr>
      <w:r>
        <w:rPr>
          <w:rFonts w:hint="cs"/>
          <w:rtl/>
        </w:rPr>
        <w:t>ע' במקורות דשיעור הקודם</w:t>
      </w:r>
    </w:p>
    <w:p w14:paraId="6E72DD7B" w14:textId="10760B76" w:rsidR="003D4519" w:rsidRPr="003D4519" w:rsidRDefault="00D97DF3" w:rsidP="003D4519">
      <w:pPr>
        <w:pStyle w:val="Heading2"/>
        <w:rPr>
          <w:rtl/>
        </w:rPr>
      </w:pPr>
      <w:r>
        <w:rPr>
          <w:rFonts w:hint="cs"/>
          <w:rtl/>
        </w:rPr>
        <w:t>סנהדרין מא.</w:t>
      </w:r>
    </w:p>
    <w:p w14:paraId="6AD06D17" w14:textId="4B49F8A7" w:rsidR="008E3BD3" w:rsidRDefault="00AD1719" w:rsidP="00AD1719">
      <w:pPr>
        <w:pStyle w:val="Heading2"/>
        <w:rPr>
          <w:rtl/>
        </w:rPr>
      </w:pPr>
      <w:r w:rsidRPr="00AD1719">
        <w:rPr>
          <w:rtl/>
        </w:rPr>
        <w:t>רמב"ם הלכות עדות פרק ב</w:t>
      </w:r>
      <w:r>
        <w:rPr>
          <w:rFonts w:hint="cs"/>
          <w:rtl/>
        </w:rPr>
        <w:t xml:space="preserve"> הלכה ג</w:t>
      </w:r>
    </w:p>
    <w:p w14:paraId="6FD4FBCD" w14:textId="5B4BDAF3" w:rsidR="00AD1719" w:rsidRDefault="00AD1719" w:rsidP="00AD1719">
      <w:pPr>
        <w:rPr>
          <w:rtl/>
        </w:rPr>
      </w:pPr>
      <w:r w:rsidRPr="00AD1719">
        <w:rPr>
          <w:rtl/>
        </w:rPr>
        <w:t>היו העדים מרובים שנים מהן כיוונו עדותן בחקירות ובדרישות והשלישי אומר איני יודע תתקיים העדות בשנים ויהרג, אבל אם הכחיש את שניהן אפילו בבדיקות עדותן בטלה.</w:t>
      </w:r>
    </w:p>
    <w:p w14:paraId="081B7D9D" w14:textId="29C77D3C" w:rsidR="0075231A" w:rsidRDefault="00FC51EE" w:rsidP="00FC51EE">
      <w:pPr>
        <w:pStyle w:val="Heading2"/>
        <w:rPr>
          <w:rtl/>
        </w:rPr>
      </w:pPr>
      <w:r>
        <w:rPr>
          <w:rFonts w:hint="cs"/>
          <w:rtl/>
        </w:rPr>
        <w:t>לחם משנה שם</w:t>
      </w:r>
    </w:p>
    <w:p w14:paraId="651C33F9" w14:textId="4D344186" w:rsidR="00FC51EE" w:rsidRPr="00FC51EE" w:rsidRDefault="00FC51EE" w:rsidP="00FC51EE">
      <w:pPr>
        <w:rPr>
          <w:rtl/>
        </w:rPr>
      </w:pPr>
      <w:r w:rsidRPr="00FC51EE">
        <w:rPr>
          <w:rtl/>
        </w:rPr>
        <w:t>[ג] היו העדים מרובים וכו'. תמיה לי טובא דבפ' היו בודקין (שם ב) אמרינן אלא אמר רבא הכי קאמר אפילו בחקירות שנים אומרים ידענו ואחד אומר איני יודע עדותן קיימת כמאן דלא כר' עקיבא ע"כ ופירש"י דהיינו הא דאמרינן בפ"ק דמכות מה שנים אין זוממין עד שיזומו שניהם אף שלשתן עד שיזומו שלשתן ואע"ג דר"ש קאמר לה להא מילתא וכו' מיהו ר"ע אית ליה נמי דר"ש וכו' והתוספות פירשו דלא קאי אלא אדר' עקיבא דאמר התם נמצא אחד מהם קרוב או פסול עדותן בטלה אפי' כשהם שלשה אבל ר"ש מודה דבחקירות שנים אומרים ידענו ואחד אומר איני יודע יהרג ובין שיפרש רבינו כפירוש רש"י ז"ל או כפירוש התוספות דבריו תמוהים שהוא פסק לקמן בפרק ה' מהלכות אלו כר' עקיבא שכתב ע"פ שני עדים או על פי שלשה וכו' מה שנים נמצא אחד מהם קרוב או פסול כו' ובפרק עשרים מהלכות אלו פסק כר"ש היו העדים שלשה אפי' מאה העידו בב"ד זה אחר זה אין נענשין עד שיזומו כולן והיינו כר"ש דאמר כן בפ"ק דמכות. ואולי יש לומר דרבינו מפרש כפירוש רש"י ז"ל ומ"ש רבינו כאן איירי כשהעידו כל אחד אחר כדי דבור של חבירו וכיון שכן אפי' אמר האחד איני יודע עדותן קיימת כיון שלא העיד תוך כדי דבור של חבירו דומיא דהזמה דלא בעינן שיזומו כולן כשהעיד אחר כדי דבור של חבירו דהא בהזמה תלי טעמא בגמ' ומה שאמר מתני' דלא כר' עקיבא משום דבגמ' בעי לאוקמה מתני' בכל גוונא אפי' שהעיד תוך כדי דבור של חבירו אבל רבינו כיון דפירש גבי הזמה החילוק שבין תוך כדי דבור לאחר כדי דבור מינה נשמע דכאן איירי אחר כדי דבור דהא בהא תליא ולא הוצרך לפרש כאן. ומכל מקום סתם הדברים ועדיין צ"ע:</w:t>
      </w:r>
    </w:p>
    <w:p w14:paraId="3B59019D" w14:textId="578FC319" w:rsidR="00AD1719" w:rsidRDefault="000A2A76" w:rsidP="000A2A76">
      <w:pPr>
        <w:pStyle w:val="Heading1"/>
        <w:rPr>
          <w:rtl/>
        </w:rPr>
      </w:pPr>
      <w:r>
        <w:rPr>
          <w:rFonts w:hint="cs"/>
          <w:rtl/>
        </w:rPr>
        <w:t>סמיכת מסכת מכות למסכת סנהדרין</w:t>
      </w:r>
    </w:p>
    <w:p w14:paraId="413C6BCD" w14:textId="48B3D6C7" w:rsidR="000A2A76" w:rsidRDefault="000A2A76" w:rsidP="000A2A76">
      <w:pPr>
        <w:pStyle w:val="Heading2"/>
        <w:rPr>
          <w:rtl/>
        </w:rPr>
      </w:pPr>
      <w:r>
        <w:rPr>
          <w:rFonts w:hint="cs"/>
          <w:rtl/>
        </w:rPr>
        <w:t>רמב"ם הקדמה לפירוש המשניות</w:t>
      </w:r>
    </w:p>
    <w:p w14:paraId="36437107" w14:textId="579F8C46" w:rsidR="000A2A76" w:rsidRDefault="000A2A76" w:rsidP="000A2A76">
      <w:pPr>
        <w:rPr>
          <w:rtl/>
        </w:rPr>
      </w:pPr>
      <w:r w:rsidRPr="000A2A76">
        <w:rPr>
          <w:rtl/>
        </w:rPr>
        <w:t xml:space="preserve">אח"כ נתעסק בחלוקת הדברים בסדר נזיקין, וחלק עניני המסכתא הראשונה לשלשה חלקים. והתחיל בבבא קמא וענינה בדיני הנזקים ומניעתם כגון השור, והבור, וההבער, והחבלות, ודומיהם. ומחובת הדיין להקדים תחלה סלוק הנזקים מבני אדם. אח"כ בבא מציעא וענינה בדיני הטענות והפקדונות, וההשכרה, והתביעות, והשכירות, וכל מה שראוי להסתפח לענין זה, כדרך שעשה הכתוב, אחר דיני שור ובור והבער וכי ינצו אנשים דבר בדין ארבעה שומרין. אח"כ בבא בתרא וענינה במשפטי חלוקת הקרקעות, ודינים השייכים בבתים משותפים, ודיני שכנים, ובטול קשרי מסחר בהגלות מום, ודינים המסופקים בעניני מקח וממכר והיאך לדון בהם, ודיני ערבות והירושות. ואיחר חלק זה מפני שכולו קבלה ודברי סברא, ולא נתבארו במקרא, וכאשר הודיע את הדינים בא לדבר על הדיינים המוציאים לפועל אותם הדינים, ולכן הסמיך סנהדרין לבבא בתרא. אבל מסכת מכות בכמה העתקות היא מחוברת למסכת סנהדרין ונחשבת עמה, שכיון שאמר אלו הן הנחנקין הסמיכו לו ואלו הן הלוקין, ואין זה נכון, אלא היא מסכתא בפני עצמה, ונסמכה לסנהדרין לפי שאין מלקין ועונשין אלא הדיינים, והוא מאמר ה' והפילו השופט והכהו לפניו כדי רשעתו, ואחר מכות שבועות לפי שיש דמיון בדינים שבסוף זו ותחלת זו כמו שנזכר בתלמוד, ועוד שגם היא ממעשה הדיינים, לפי שלא יכוף על השבועה כי אם הדיין. וכאשר גמר לדבר על הדינים והדיינים ומה שמסור לב"ד, ההלקאה וחיוב השבועות, דבר על עדיות, ורוב עניני מסכתא זו למסור לך כל ההלכות שהעידו בהם אנשים נאמנים. לפי שעדותם הלכה למעשה, והרי היא מסוגי הדינים, לפי שאין עדות אלא בפני ב"ד, וכן כל עדות מאלה לא היתה אלא בפני ב"ד, ואיחרה אחר שבועות לפי ששבועות ענינים הצריכים במשך הדורות, ועדיות הודעת דינים שכבר העידו בהן לפני דייני זמנם וקבלום. אח"כ דבר בדיני ע"ז לפי שהוא ענין הכרחי לדיין, ובה תהיה שלמות הדיין בידיעת חוקי אותם הנעבדים וכל הצריך להם, כדי שידע היאך לדון בהם, לפי </w:t>
      </w:r>
      <w:r w:rsidRPr="000A2A76">
        <w:rPr>
          <w:rtl/>
        </w:rPr>
        <w:lastRenderedPageBreak/>
        <w:t>שהעובד שבתאי בעבודת נוגה או שדרש צדק כנהוג למאדים לא יתחייב מיתה כמו שקבלנו בקבלה האמתית, ואיחרה לפי שהיא מעט המציאות זולתי בדרך מקרה.</w:t>
      </w:r>
    </w:p>
    <w:p w14:paraId="1ED52D20" w14:textId="7EAB211E" w:rsidR="00232269" w:rsidRDefault="00232269" w:rsidP="00232269">
      <w:pPr>
        <w:pStyle w:val="Heading2"/>
        <w:rPr>
          <w:rtl/>
        </w:rPr>
      </w:pPr>
      <w:r>
        <w:rPr>
          <w:rFonts w:hint="cs"/>
          <w:rtl/>
        </w:rPr>
        <w:t>חידושי הרמב"ן שבועות ב:</w:t>
      </w:r>
      <w:r w:rsidR="00D24788">
        <w:rPr>
          <w:rFonts w:hint="cs"/>
          <w:rtl/>
        </w:rPr>
        <w:t xml:space="preserve"> ד"ה גמ'</w:t>
      </w:r>
    </w:p>
    <w:p w14:paraId="684861D4" w14:textId="35A815DA" w:rsidR="003B53CE" w:rsidRPr="003B53CE" w:rsidRDefault="003B53CE" w:rsidP="003B53CE">
      <w:pPr>
        <w:rPr>
          <w:rtl/>
        </w:rPr>
      </w:pPr>
      <w:r w:rsidRPr="003B53CE">
        <w:rPr>
          <w:rtl/>
        </w:rPr>
        <w:t>גמ' מכדי תנא ממכות קא סליק מאי שנא דקתני שבועות. הרב ר' יהוסף הלוי ז"ל הקשה הא קי"ל אין סדר למשנה ומנא ליה דממכות סליק, ופריק כולה נזיקין חדא מסכתא היא ולאו אתלתא בבי בלחוד איתמר אלא אכוליה סדר נזיקין והאי תירוצא אתיא אליבא דרב יוסף (ב"ק ק"ב א'), אבל רב הונא לא סבירא ליה כוליה נזיקין חדא מסכתא היא, ועוד דמשמע דאבבי בלחוד איתמר דאינהו חדא מסכתא נינהו בודאי וכן תלתא בבי דבמסכת כלים אבל סדרי אחריני לאו כחדא מסכתא נינהו דאי הכי הוה לן למימר חדא סידרא כחדא מסכתא דמי, והכי אמרינן בהגדה בויקרא רבה נזיקין ל' פרקים כלים ל' פרקים דתלתא בבי מקרו מס' נזיקין ואקרו מס' כלים, וכך ראיתי בכיצד נכתבה המשנה +הכונה לאגרת רב שרירא גאון+ דאמר רב יוסף בבבא דנזיקין דחדא מסכתא היא, ופירוק אחר אמר דכי אמרינן אין סדר למשנה ה"מ לענין אקדומי ואחורי אבל לענין מיסמך יש סדר דאי נמי שבועות מקמי מכות מכל מקום סמיכי אהדדי, והאי נמי לא נהיר דאי ידעינן מסמך מסכתי ידעינן נמי אקדומינהו ואחורינהו דאי מכות סמוך לשבועות או לעבודה זרה או לסנהדרין על כרחין מכות מקמי שבועות נמצא דידעינן נמי אקדומי ואחורי כיון דידעי' למסמך ביה (בה) דאי מכות סמוך לשבועות נמצא מכות מקמי הוא ואין הסדר בשתים אלו בלבד יותר מן השאר, ועיקר התשובה בקושיא זו משום דודאי כו"ע ידעי דשבועות בסדר נזיקין נשנית, ולפיכך הקשו מכדי תנא ממכות קא סליק כלומר מכדי מאי אית לך למימר דתנא ממכות סליק דדמי לשבועות טפי מכוליה סדר נזיקין דליכא בנזיקין מאי דדמי ליה כלל אלא מכות, דתרויהו חיובי לאוין תנו ואית בהו מכות, מכל מקום מאי שנא דתני שבועות כלומר דיני השבועות דהיינו שבועות ביטוי בהעלמה לקרבן, בשלמא מזיד איכא מכות אלא שבועות שתים שהן ארבע מי דמי למכות כנ"ל, וכיוצא בה במסכת נזיר מכדי תנא בסדר נשים קאי וזו ראיה לדברי.</w:t>
      </w:r>
    </w:p>
    <w:sectPr w:rsidR="003B53CE" w:rsidRPr="003B53C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EFDE9" w14:textId="77777777" w:rsidR="00FB084C" w:rsidRDefault="00FB084C" w:rsidP="008E3BD3">
      <w:r>
        <w:separator/>
      </w:r>
    </w:p>
  </w:endnote>
  <w:endnote w:type="continuationSeparator" w:id="0">
    <w:p w14:paraId="0F90CB90" w14:textId="77777777" w:rsidR="00FB084C" w:rsidRDefault="00FB084C"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altName w:val="Times New Roman"/>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51B8"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BE0B" w14:textId="77777777" w:rsidR="00FB084C" w:rsidRDefault="00FB084C" w:rsidP="008E3BD3">
      <w:r>
        <w:separator/>
      </w:r>
    </w:p>
  </w:footnote>
  <w:footnote w:type="continuationSeparator" w:id="0">
    <w:p w14:paraId="65700C45" w14:textId="77777777" w:rsidR="00FB084C" w:rsidRDefault="00FB084C"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57B8" w14:textId="3894CE6E" w:rsidR="008E3BD3" w:rsidRDefault="00A6021F" w:rsidP="00EA716F">
    <w:pPr>
      <w:jc w:val="center"/>
    </w:pPr>
    <w:r w:rsidRPr="008E3BD3">
      <w:rPr>
        <w:rtl/>
      </w:rPr>
      <w:t>הרב צבי שכטר</w:t>
    </w:r>
    <w:r>
      <w:tab/>
    </w:r>
    <w:r w:rsidR="00DF5C70">
      <w:rPr>
        <w:rtl/>
      </w:rPr>
      <w:tab/>
    </w:r>
    <w:r>
      <w:tab/>
    </w:r>
    <w:r w:rsidR="00EA716F">
      <w:rPr>
        <w:rtl/>
      </w:rPr>
      <w:tab/>
    </w:r>
    <w:r w:rsidR="00AA4DBA" w:rsidRPr="00AA4DBA">
      <w:t xml:space="preserve">  </w:t>
    </w:r>
    <w:r w:rsidR="00AA4DBA" w:rsidRPr="00AA4DBA">
      <w:rPr>
        <w:rtl/>
      </w:rPr>
      <w:t>‏כ"ה אדר ב תשע"ו</w:t>
    </w:r>
    <w:r w:rsidR="00EA716F">
      <w:rPr>
        <w:rFonts w:hint="cs"/>
        <w:rtl/>
      </w:rPr>
      <w:t xml:space="preserve"> </w:t>
    </w:r>
    <w:r>
      <w:tab/>
    </w:r>
    <w:r w:rsidR="00DF5C70">
      <w:rPr>
        <w:rtl/>
      </w:rPr>
      <w:tab/>
    </w:r>
    <w:r>
      <w:rPr>
        <w:rFonts w:hint="cs"/>
        <w:rtl/>
      </w:rPr>
      <w:t xml:space="preserve"> ש</w:t>
    </w:r>
    <w:r w:rsidR="00AA4DBA">
      <w:rPr>
        <w:rtl/>
      </w:rPr>
      <w:t xml:space="preserve">יעור </w:t>
    </w:r>
    <w:r w:rsidR="00AA4DBA">
      <w:rPr>
        <w:rFonts w:hint="cs"/>
        <w:rtl/>
      </w:rPr>
      <w:t>צ"ג</w:t>
    </w:r>
    <w:r w:rsidRPr="008E3BD3">
      <w:rPr>
        <w:rtl/>
      </w:rPr>
      <w:t xml:space="preserve"> - מס' סנהדרין </w:t>
    </w:r>
    <w:r w:rsidR="00AA4DBA">
      <w:rPr>
        <w:rFonts w:hint="cs"/>
        <w:rtl/>
      </w:rPr>
      <w:t>ל</w:t>
    </w:r>
    <w:r w:rsidR="008064C3">
      <w:rPr>
        <w:rFonts w:hint="cs"/>
        <w:rtl/>
      </w:rPr>
      <w:t>.</w:t>
    </w:r>
    <w:r w:rsidR="00AA4DBA">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4C"/>
    <w:rsid w:val="000A2A76"/>
    <w:rsid w:val="00104BFF"/>
    <w:rsid w:val="00111610"/>
    <w:rsid w:val="00125C0B"/>
    <w:rsid w:val="00232269"/>
    <w:rsid w:val="003B53CE"/>
    <w:rsid w:val="003D4519"/>
    <w:rsid w:val="003F1F3A"/>
    <w:rsid w:val="0075231A"/>
    <w:rsid w:val="007A4624"/>
    <w:rsid w:val="008064C3"/>
    <w:rsid w:val="008E3BD3"/>
    <w:rsid w:val="00A6021F"/>
    <w:rsid w:val="00AA4DBA"/>
    <w:rsid w:val="00AD1719"/>
    <w:rsid w:val="00BC2476"/>
    <w:rsid w:val="00C119DD"/>
    <w:rsid w:val="00C402D8"/>
    <w:rsid w:val="00D05E29"/>
    <w:rsid w:val="00D24788"/>
    <w:rsid w:val="00D776CD"/>
    <w:rsid w:val="00D97DF3"/>
    <w:rsid w:val="00DF5C70"/>
    <w:rsid w:val="00E303F7"/>
    <w:rsid w:val="00EA716F"/>
    <w:rsid w:val="00FB084C"/>
    <w:rsid w:val="00FC51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801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383">
      <w:bodyDiv w:val="1"/>
      <w:marLeft w:val="0"/>
      <w:marRight w:val="0"/>
      <w:marTop w:val="0"/>
      <w:marBottom w:val="0"/>
      <w:divBdr>
        <w:top w:val="none" w:sz="0" w:space="0" w:color="auto"/>
        <w:left w:val="none" w:sz="0" w:space="0" w:color="auto"/>
        <w:bottom w:val="none" w:sz="0" w:space="0" w:color="auto"/>
        <w:right w:val="none" w:sz="0" w:space="0" w:color="auto"/>
      </w:divBdr>
      <w:divsChild>
        <w:div w:id="456529617">
          <w:marLeft w:val="0"/>
          <w:marRight w:val="0"/>
          <w:marTop w:val="0"/>
          <w:marBottom w:val="0"/>
          <w:divBdr>
            <w:top w:val="single" w:sz="6" w:space="0" w:color="CECEC6"/>
            <w:left w:val="none" w:sz="0" w:space="0" w:color="auto"/>
            <w:bottom w:val="none" w:sz="0" w:space="0" w:color="auto"/>
            <w:right w:val="none" w:sz="0" w:space="0" w:color="auto"/>
          </w:divBdr>
        </w:div>
      </w:divsChild>
    </w:div>
    <w:div w:id="2112892200">
      <w:bodyDiv w:val="1"/>
      <w:marLeft w:val="0"/>
      <w:marRight w:val="0"/>
      <w:marTop w:val="0"/>
      <w:marBottom w:val="0"/>
      <w:divBdr>
        <w:top w:val="none" w:sz="0" w:space="0" w:color="auto"/>
        <w:left w:val="none" w:sz="0" w:space="0" w:color="auto"/>
        <w:bottom w:val="none" w:sz="0" w:space="0" w:color="auto"/>
        <w:right w:val="none" w:sz="0" w:space="0" w:color="auto"/>
      </w:divBdr>
      <w:divsChild>
        <w:div w:id="1835801811">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2016-04-04T17:50:00Z</dcterms:created>
  <dcterms:modified xsi:type="dcterms:W3CDTF">2016-04-04T19:15:00Z</dcterms:modified>
</cp:coreProperties>
</file>