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72281F74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proofErr w:type="spellStart"/>
      <w:r w:rsidR="00E30410">
        <w:rPr>
          <w:rFonts w:ascii="David" w:hAnsi="David" w:cs="David" w:hint="cs"/>
          <w:b/>
          <w:bCs/>
          <w:sz w:val="32"/>
          <w:szCs w:val="32"/>
          <w:rtl/>
        </w:rPr>
        <w:t>קיג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1161C429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95CD0">
        <w:rPr>
          <w:rFonts w:ascii="David" w:hAnsi="David" w:cs="David" w:hint="cs"/>
          <w:b/>
          <w:bCs/>
          <w:sz w:val="32"/>
          <w:szCs w:val="32"/>
          <w:u w:val="single"/>
          <w:rtl/>
        </w:rPr>
        <w:t>שנ</w:t>
      </w:r>
      <w:r w:rsidR="002418A0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D95CD0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כא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' 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תמוז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BDEF6E2" w14:textId="60FA37A4" w:rsidR="008E0E85" w:rsidRPr="00C7123B" w:rsidRDefault="00D95CD0" w:rsidP="00D95CD0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גמ' ע"ז דף לח. "אמר רב יהודה אמר שמואל" עד </w:t>
      </w:r>
      <w:r w:rsidR="002D166F">
        <w:rPr>
          <w:rFonts w:ascii="David" w:hAnsi="David" w:cs="David" w:hint="cs"/>
          <w:sz w:val="32"/>
          <w:szCs w:val="32"/>
          <w:rtl/>
        </w:rPr>
        <w:t xml:space="preserve">לח: "תחילתו וגמרו ביד עובד כוכבים" עם </w:t>
      </w:r>
      <w:proofErr w:type="spellStart"/>
      <w:r w:rsidR="002D166F"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 w:rsidR="002D166F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2D166F">
        <w:rPr>
          <w:rFonts w:ascii="David" w:hAnsi="David" w:cs="David" w:hint="cs"/>
          <w:sz w:val="32"/>
          <w:szCs w:val="32"/>
          <w:rtl/>
        </w:rPr>
        <w:t>ותוס</w:t>
      </w:r>
      <w:proofErr w:type="spellEnd"/>
      <w:r w:rsidR="002D166F">
        <w:rPr>
          <w:rFonts w:ascii="David" w:hAnsi="David" w:cs="David" w:hint="cs"/>
          <w:sz w:val="32"/>
          <w:szCs w:val="32"/>
          <w:rtl/>
        </w:rPr>
        <w:t>'</w:t>
      </w:r>
      <w:r w:rsidR="00C7123B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C7123B">
        <w:rPr>
          <w:rFonts w:ascii="David" w:hAnsi="David" w:cs="David" w:hint="cs"/>
          <w:sz w:val="32"/>
          <w:szCs w:val="32"/>
          <w:rtl/>
        </w:rPr>
        <w:t>ור"ן</w:t>
      </w:r>
      <w:proofErr w:type="spellEnd"/>
      <w:r w:rsidR="00C7123B">
        <w:rPr>
          <w:rFonts w:ascii="David" w:hAnsi="David" w:cs="David" w:hint="cs"/>
          <w:sz w:val="32"/>
          <w:szCs w:val="32"/>
          <w:rtl/>
        </w:rPr>
        <w:t xml:space="preserve"> שם</w:t>
      </w:r>
    </w:p>
    <w:p w14:paraId="0815FD5B" w14:textId="0E521F63" w:rsidR="00C7123B" w:rsidRPr="004C64AE" w:rsidRDefault="00C7123B" w:rsidP="00C7123B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רמב"ם הל' מאכ"א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פי"ז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הט"ז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, טור ב"י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ד"מ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ו'</w:t>
      </w:r>
    </w:p>
    <w:p w14:paraId="7F8AC4F2" w14:textId="699300B2" w:rsidR="004C64AE" w:rsidRPr="00D95CD0" w:rsidRDefault="004C64AE" w:rsidP="004C64AE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שם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ש"ך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וט"ז</w:t>
      </w:r>
    </w:p>
    <w:p w14:paraId="586A74F6" w14:textId="77777777" w:rsidR="007A01A9" w:rsidRDefault="007A01A9" w:rsidP="008E0E85">
      <w:pPr>
        <w:bidi/>
        <w:jc w:val="center"/>
        <w:rPr>
          <w:rFonts w:ascii="David" w:hAnsi="David" w:cs="David"/>
          <w:b/>
          <w:bCs/>
          <w:sz w:val="44"/>
          <w:szCs w:val="44"/>
        </w:rPr>
      </w:pPr>
    </w:p>
    <w:p w14:paraId="6B67DEDB" w14:textId="77777777" w:rsidR="007A01A9" w:rsidRDefault="007A01A9" w:rsidP="007A01A9">
      <w:pPr>
        <w:bidi/>
        <w:jc w:val="center"/>
        <w:rPr>
          <w:rFonts w:ascii="David" w:hAnsi="David" w:cs="David"/>
          <w:b/>
          <w:bCs/>
          <w:sz w:val="44"/>
          <w:szCs w:val="44"/>
        </w:rPr>
      </w:pPr>
    </w:p>
    <w:p w14:paraId="6BBB976E" w14:textId="77777777" w:rsidR="007A01A9" w:rsidRDefault="007A01A9" w:rsidP="007A01A9">
      <w:pPr>
        <w:bidi/>
        <w:jc w:val="center"/>
        <w:rPr>
          <w:rFonts w:ascii="David" w:hAnsi="David" w:cs="David"/>
          <w:b/>
          <w:bCs/>
          <w:sz w:val="44"/>
          <w:szCs w:val="44"/>
        </w:rPr>
      </w:pPr>
    </w:p>
    <w:p w14:paraId="040D7498" w14:textId="0ADD6D6D" w:rsidR="0061362C" w:rsidRDefault="00E70A08" w:rsidP="007A01A9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369B99C5" w14:textId="77777777" w:rsidR="00904B4E" w:rsidRDefault="00904B4E" w:rsidP="00904B4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93282F9" w14:textId="6CB29472" w:rsidR="00DB6B61" w:rsidRDefault="00DB6B61" w:rsidP="00DB6B61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4EB8D38" w14:textId="77777777" w:rsidR="004C64AE" w:rsidRDefault="004C64AE" w:rsidP="00097D41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B3BF900" w14:textId="3362EB59" w:rsidR="00097D41" w:rsidRPr="00097D41" w:rsidRDefault="00097D41" w:rsidP="004C64AE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097D41">
        <w:rPr>
          <w:rFonts w:ascii="David" w:hAnsi="David" w:cs="David"/>
          <w:sz w:val="24"/>
          <w:szCs w:val="24"/>
          <w:rtl/>
        </w:rPr>
        <w:lastRenderedPageBreak/>
        <w:t>הר"ן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על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הרי"ף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מסכת עבודה זרה דף טו עמוד א</w:t>
      </w:r>
    </w:p>
    <w:p w14:paraId="1DB1A94D" w14:textId="0A00328B" w:rsidR="00097D41" w:rsidRDefault="00097D41" w:rsidP="00097D41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097D41">
        <w:rPr>
          <w:rFonts w:ascii="David" w:hAnsi="David" w:cs="David"/>
          <w:sz w:val="24"/>
          <w:szCs w:val="24"/>
          <w:rtl/>
        </w:rPr>
        <w:t xml:space="preserve">גמרו ביד עובד כוכבים מותר גמרו ביד ישראל לא כ"ש וא"ת מאי ק"ו אדרבה גמרו ביד עובד כוכבים דין הוא שיהא מותר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אסיקנא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לעיל בסמוך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דקרובי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בשולא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לאו מילתא היא ומשום האי טעמא גופיה ראוי לאסור כל שגמרו ביד ישראל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י"ל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דכי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לעיל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דקרובי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בשולא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לאו מילתא משום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קולא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דבישולי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עובד כוכבים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אמרינן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הכי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דבמילי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אחרינא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ודאי מילתא היא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וכדאמרינן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בפרק ידיעות הטומאה (דף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ב)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דקרובי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עבודה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עבודה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היא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ומש"ה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דיינינן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ק"ו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דהשתא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גמרו ביד עובד כוכבים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דשייך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למגזר ביה טפי משום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לפי שהוא נהנה מיד של עובד כוכבים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ואפ"ה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שרינן ליה משום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קולא</w:t>
      </w:r>
      <w:proofErr w:type="spellEnd"/>
      <w:r w:rsidRPr="00097D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97D41">
        <w:rPr>
          <w:rFonts w:ascii="David" w:hAnsi="David" w:cs="David"/>
          <w:sz w:val="24"/>
          <w:szCs w:val="24"/>
          <w:rtl/>
        </w:rPr>
        <w:t>דבישולי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97D41">
        <w:rPr>
          <w:rFonts w:ascii="David" w:hAnsi="David" w:cs="David"/>
          <w:sz w:val="24"/>
          <w:szCs w:val="24"/>
          <w:rtl/>
        </w:rPr>
        <w:t>עובד כוכבים כ"ש גמרו ע"י ישראל:</w:t>
      </w:r>
    </w:p>
    <w:p w14:paraId="4753E5E8" w14:textId="77777777" w:rsidR="00C7123B" w:rsidRPr="00C7123B" w:rsidRDefault="00C7123B" w:rsidP="00C7123B">
      <w:pPr>
        <w:bidi/>
        <w:jc w:val="both"/>
        <w:rPr>
          <w:rFonts w:ascii="David" w:hAnsi="David" w:cs="David"/>
          <w:sz w:val="24"/>
          <w:szCs w:val="24"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רמב"ם הלכות מאכלות אסורות פרק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הלכה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טז</w:t>
      </w:r>
      <w:proofErr w:type="spellEnd"/>
    </w:p>
    <w:p w14:paraId="449FB412" w14:textId="562C87AD" w:rsidR="00C7123B" w:rsidRDefault="00C7123B" w:rsidP="00C7123B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ודגים קטנים שמלחן ישראל או עכו"ם הרי הן כמו שנתבשלו מקצת בשול, ואם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צלאן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עכו"ם אחר כן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מותרין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ש וכל שבשלו ישראל ת מעט בשולו בין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בתחלה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בין בסוף מותר, לפיכך אם הניח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העכו"ם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בשר או קדרה על גבי האש והפך ישראל בבשר והגיס בקדרה או שהניח ישראל וגמר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העכו"ם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הרי זה מותר.</w:t>
      </w:r>
    </w:p>
    <w:p w14:paraId="06F8AE9F" w14:textId="77777777" w:rsidR="00C7123B" w:rsidRPr="00C7123B" w:rsidRDefault="00C7123B" w:rsidP="00C7123B">
      <w:pPr>
        <w:bidi/>
        <w:jc w:val="both"/>
        <w:rPr>
          <w:rFonts w:ascii="David" w:hAnsi="David" w:cs="David"/>
          <w:sz w:val="24"/>
          <w:szCs w:val="24"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טור יורה דעה הלכות מאכלי עובדי כוכבים סימן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055DEC5D" w14:textId="48F3099F" w:rsidR="00C7123B" w:rsidRDefault="00C7123B" w:rsidP="00C7123B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ולא אסרו אלא כשכל הבישול ע"י עו"ג אבל היה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תחלתו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או סופו על ידי ישראל מותר ב]כיצד הניח עו"ג התבשיל על הגחלים ובא ישראל וחתה בגחלים מותר אף על פי שהיה מתבשל בלא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חתוי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וכן אם הניח ישראל ו)ובא עו"ג וחתה מותר</w:t>
      </w:r>
    </w:p>
    <w:p w14:paraId="373F092B" w14:textId="77777777" w:rsidR="00C7123B" w:rsidRPr="00C7123B" w:rsidRDefault="00C7123B" w:rsidP="00C7123B">
      <w:pPr>
        <w:bidi/>
        <w:jc w:val="both"/>
        <w:rPr>
          <w:rFonts w:ascii="David" w:hAnsi="David" w:cs="David"/>
          <w:sz w:val="24"/>
          <w:szCs w:val="24"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בית יוסף יורה דעה סימן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2EC500D7" w14:textId="6EB6786D" w:rsidR="00C7123B" w:rsidRDefault="00C7123B" w:rsidP="00C7123B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ו (א) ולא אסרו אלא כשכל הבישול ע"י גוי אבל אם היה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תחלתו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או סופו על ידי ישראל מותר כיצד הניח גוי התבשיל על הגחלים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'. שם (לח.) אמר רב יהודה אמר שמואל הניח ישראל בשר על גבי גחלים ובא גוי והפך בו מותר היכי דמי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אילימא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דאי לא היפך ביה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פשיטא אלא לאו דאי לא היפך ביה לא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מותר בישולי גוים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נינהו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צריכא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דאי לא הפך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בתרתי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שעי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והשתא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בחדא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שעתא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מהו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קרובי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בישולא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מילתא היא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והא"ר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אסי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יוחנן כל שהוא כמאכל בן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אין בו משום בישולי גוים הא אינו כמאכל בן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יש בו משום בישולי גוים כלומר ואף על גב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דהתם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מיבשיל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ממילא אלא שהגוי קירב בבישול התם כגון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דאותביה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בסילתא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ושקליה גוי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ואותביה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בתנור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איבעיא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להו הניח גוי והפך ישראל מהו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ואסיקנא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בין שהניח גוי והפך ישראל בין שהניח ישראל והיפך גוי מותר ואינו אסור עד שתהא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תחלתו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וגמרו ביד גוי ומשמע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דהיפך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דקאמר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אבשר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דומיא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דמגיס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את הקדרה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דתני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לה בהדה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בברייתא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בגמרא מניח ישראל בשר על גבי גחלים ובא גוי ומהפך בו עד שיבא ישראל מבית המרחץ שופתת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אשה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קדרה על גבי כירה ובאה גויה ומגיסה עד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שתבא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מבית המרחץ או מבית הכנסת ואינה חוששת וכ"כ הרמב"ם (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פי"ז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מהמ"א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הט"ז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) הניח הגוי בשר או קדרה על גבי האש והפך ישראל בבשר והגיס בקדרה או שהניח ישראל וגמר הגוי מותר. ונראה לי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דהאי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היפוך בבשר לא להפכו מצד שהוא מונח על גבי גחלים ולהניחו מצד אחר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דהיינו מסלקו ממש וכל שסילקו הגוי קודם שיתבשל כמאכל בן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והחזירו לאור אסור אלא כשהיה מנענעו והוא מונע האש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וע"י כך הובערו הגחלים ונתקרב בישולו אבל רבינו נראה שמפרש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דהיפך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אגחלים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ולפיכך כתב וחתה בגחלים במקום והיפך:</w:t>
      </w:r>
    </w:p>
    <w:p w14:paraId="5031E408" w14:textId="77777777" w:rsidR="00C7123B" w:rsidRPr="00C7123B" w:rsidRDefault="00C7123B" w:rsidP="00C7123B">
      <w:pPr>
        <w:bidi/>
        <w:jc w:val="both"/>
        <w:rPr>
          <w:rFonts w:ascii="David" w:hAnsi="David" w:cs="David"/>
          <w:sz w:val="24"/>
          <w:szCs w:val="24"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בית יוסף יורה דעה סימן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6936DC31" w14:textId="6D15F65C" w:rsidR="00C7123B" w:rsidRDefault="00C7123B" w:rsidP="00C7123B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ומכל מקום יש לתמוה על הרמב"ם ורבינו שלא כתבו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דשרי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בהניח ישראל והפך גוי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דוקא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בדלא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עביד גוי אלא קירוב בישול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כדאמרינן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בגמרא אבל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דאי לא היפך ביה גוי לא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אסור וי"ל שרבינו סמך על מה שכתב אח"כ גבי הניח ישראל ע"ג גחלים עוממות והרמב"ם אפשר שנראה לו שהוא דבר פשוט ולכן לא הוצרך לכתבו: ונראה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דבשר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שצולין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בשפוד אף על פי שהניח ישראל השפוד עם הבשר תחוב בו סמוך לאש במקום צלייתו אסור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ליתנו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לגוי להפכו כדי שיצלה אא"כ נצלה ביד ישראל כמאכל בן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שהרי אם לא היה הופכו הגוי לא היה נצלה מהצד האחר כלל ועוד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דאיכא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למיחש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ביה שמא יסלקנו הגוי ויחזור ויניחנו ולאו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אדעתא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ולא דמי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לקדרה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שמניח ישראל ומגיס גוי ולא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חיישינן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שמא סילקה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כדבסמוך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דשאני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הכא שראש השפוד עשוי להשמט ממקום שהוא מונח בו וכשהוא נשמט וחזר הגוי והניחו נאסרה:</w:t>
      </w:r>
    </w:p>
    <w:p w14:paraId="3F2FCE75" w14:textId="77777777" w:rsidR="00C7123B" w:rsidRPr="00C7123B" w:rsidRDefault="00C7123B" w:rsidP="00C7123B">
      <w:pPr>
        <w:bidi/>
        <w:jc w:val="both"/>
        <w:rPr>
          <w:rFonts w:ascii="David" w:hAnsi="David" w:cs="David"/>
          <w:sz w:val="24"/>
          <w:szCs w:val="24"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דרכי משה הקצר יורה דעה סימן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אות (ה)</w:t>
      </w:r>
    </w:p>
    <w:p w14:paraId="7E991051" w14:textId="478E8EAC" w:rsidR="00C7123B" w:rsidRDefault="00C7123B" w:rsidP="00C7123B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C7123B">
        <w:rPr>
          <w:rFonts w:ascii="David" w:hAnsi="David" w:cs="David"/>
          <w:sz w:val="24"/>
          <w:szCs w:val="24"/>
          <w:rtl/>
        </w:rPr>
        <w:t xml:space="preserve">ומאוד החמיר בדבר זה לחוש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לספיקא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דרבנן וגם לעיל (אות א) נתבאר מדברי </w:t>
      </w:r>
      <w:proofErr w:type="spellStart"/>
      <w:r w:rsidRPr="00C7123B">
        <w:rPr>
          <w:rFonts w:ascii="David" w:hAnsi="David" w:cs="David"/>
          <w:sz w:val="24"/>
          <w:szCs w:val="24"/>
          <w:rtl/>
        </w:rPr>
        <w:t>מהרא"י</w:t>
      </w:r>
      <w:proofErr w:type="spellEnd"/>
      <w:r w:rsidRPr="00C7123B">
        <w:rPr>
          <w:rFonts w:ascii="David" w:hAnsi="David" w:cs="David"/>
          <w:sz w:val="24"/>
          <w:szCs w:val="24"/>
          <w:rtl/>
        </w:rPr>
        <w:t xml:space="preserve"> דאין לחוש אף בצלי וגם רבינו כתב סתם להתיר בסמוך ולא חילק בין צלי לבישול:</w:t>
      </w:r>
    </w:p>
    <w:p w14:paraId="474DB33B" w14:textId="77777777" w:rsidR="004C64AE" w:rsidRPr="004C64AE" w:rsidRDefault="004C64AE" w:rsidP="004C64AE">
      <w:pPr>
        <w:bidi/>
        <w:jc w:val="both"/>
        <w:rPr>
          <w:rFonts w:ascii="David" w:hAnsi="David" w:cs="David"/>
          <w:sz w:val="24"/>
          <w:szCs w:val="24"/>
        </w:rPr>
      </w:pPr>
      <w:r w:rsidRPr="004C64AE">
        <w:rPr>
          <w:rFonts w:ascii="David" w:hAnsi="David" w:cs="David"/>
          <w:sz w:val="24"/>
          <w:szCs w:val="24"/>
          <w:rtl/>
        </w:rPr>
        <w:lastRenderedPageBreak/>
        <w:t xml:space="preserve">שולחן ערוך יורה דעה הלכות מאכלי עובדי כוכבים סימן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סעיף ו</w:t>
      </w:r>
    </w:p>
    <w:p w14:paraId="43042670" w14:textId="134FA59C" w:rsidR="004C64AE" w:rsidRDefault="004C64AE" w:rsidP="004C64A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4C64AE">
        <w:rPr>
          <w:rFonts w:ascii="David" w:hAnsi="David" w:cs="David"/>
          <w:sz w:val="24"/>
          <w:szCs w:val="24"/>
          <w:rtl/>
        </w:rPr>
        <w:t xml:space="preserve">כל שבישלו ישראל מעט בישולו, בין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בתחלה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בין בסוף, מותר. לפיכך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יב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>&gt; אם הניח עובד כוכבים בשר או קדרה על גבי האש, והפך ישראל בבשר והגיס בקדרה, או שהגיס ישראל וגמר העובד כוכבים, הרי זה מותר. ח (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טז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] &lt;ו&gt;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יג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>&gt; ואפילו לא היה מתבשל בלא סיוע העובד כוכבים).</w:t>
      </w:r>
    </w:p>
    <w:p w14:paraId="30066E92" w14:textId="77777777" w:rsidR="004C64AE" w:rsidRPr="004C64AE" w:rsidRDefault="004C64AE" w:rsidP="004C64AE">
      <w:pPr>
        <w:bidi/>
        <w:jc w:val="both"/>
        <w:rPr>
          <w:rFonts w:ascii="David" w:hAnsi="David" w:cs="David"/>
          <w:sz w:val="24"/>
          <w:szCs w:val="24"/>
        </w:rPr>
      </w:pPr>
      <w:r w:rsidRPr="004C64AE">
        <w:rPr>
          <w:rFonts w:ascii="David" w:hAnsi="David" w:cs="David"/>
          <w:sz w:val="24"/>
          <w:szCs w:val="24"/>
          <w:rtl/>
        </w:rPr>
        <w:t xml:space="preserve">ט"ז יורה דעה סימן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</w:t>
      </w:r>
    </w:p>
    <w:p w14:paraId="71910B84" w14:textId="24A7998B" w:rsidR="004C64AE" w:rsidRDefault="004C64AE" w:rsidP="004C64A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4C64AE">
        <w:rPr>
          <w:rFonts w:ascii="David" w:hAnsi="David" w:cs="David"/>
          <w:sz w:val="24"/>
          <w:szCs w:val="24"/>
          <w:rtl/>
        </w:rPr>
        <w:t xml:space="preserve">ואפילו לא היה מתבשל בלא סיוע העובד כוכבים.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תימה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לי הא איתא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בגמרא אלא לאו דאי לא היפך העובד כוכבים 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מותר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והב"י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הביאה וכ"כ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בד"מ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בשם ב"י דאי לא מתבשל בלא חיתוי עובד כוכבים אסור וכן איתא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בגמרא עכ"ל וצ"ל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דה"ק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דלא היה מתבשל כראוי בלא סיוע עובד כוכבים אבל כמאכל בן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דרוסאי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הוי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אבל באמת בלאו הכי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קי"ל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כיש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חולקין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שהביא רמ"א בסמוך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דהדלקת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אש או חיתוי מהני והא בכזה ודאי לא היה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אם לא היה מעשה עובד כוכבים וכיוצא בזה הקשה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על אותן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המתירין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שיביא הישראל גחלים ומשים בתנור להדליק אח"כ האש. ונראה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לע"ד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דהם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סבירא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להו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דכשאומר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אח"כ בגמרא דאין אסור עד שיהא תחילתו וגמרו ביד עובד כוכבים הדר ביה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מסברא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זו ואף על פי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דבלא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עובד כוכבים לא היה מתבשל מ"מ כיון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שהישראל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סייע בהתחלה או בסוף מותר ונראה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לע"ד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הלכה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דדוקא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בבית ישראל יש לסמוך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אקולא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זו דיש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חולקין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של רמ"א בסמוך כיון דיש דעה בהתחלת סימן זה בטור בשם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ה"ר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אברהם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דבבית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ישראל אין איסור שלקות אף על גב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דר"ת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פליג עליה מ"מ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מותר אבל בבית עובד כוכבים אין להקל רק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שהישראל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יניח הקדירה למקום הראוי להתבשל:</w:t>
      </w:r>
    </w:p>
    <w:p w14:paraId="68D67BC5" w14:textId="77777777" w:rsidR="004C64AE" w:rsidRPr="004C64AE" w:rsidRDefault="004C64AE" w:rsidP="004C64AE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4C64AE">
        <w:rPr>
          <w:rFonts w:ascii="David" w:hAnsi="David" w:cs="David"/>
          <w:sz w:val="24"/>
          <w:szCs w:val="24"/>
          <w:rtl/>
        </w:rPr>
        <w:t>ש"ך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יורה דעה סימן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ח</w:t>
      </w:r>
    </w:p>
    <w:p w14:paraId="4CBA20A5" w14:textId="075718E6" w:rsidR="004C64AE" w:rsidRPr="0061362C" w:rsidRDefault="004C64AE" w:rsidP="004C64AE">
      <w:pPr>
        <w:bidi/>
        <w:jc w:val="both"/>
        <w:rPr>
          <w:rFonts w:ascii="David" w:hAnsi="David" w:cs="David"/>
          <w:sz w:val="24"/>
          <w:szCs w:val="24"/>
        </w:rPr>
      </w:pPr>
      <w:r w:rsidRPr="004C64AE">
        <w:rPr>
          <w:rFonts w:ascii="David" w:hAnsi="David" w:cs="David"/>
          <w:sz w:val="24"/>
          <w:szCs w:val="24"/>
          <w:rtl/>
        </w:rPr>
        <w:t xml:space="preserve"> ואפילו לא היה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'. לכאורה קשה דהוא נגד הש"ס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דעבודת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כוכבים (דף ל"ח ע"א) ומביאה ב"י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דאמרינן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אי דלא הפך בה עובד כוכבים לא הוי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בשיל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בשולי עבודת כוכבים הוא ואסור וכן הוא בפוסקים וב"י וגם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באו"ה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כלל מ"ג דין ט' דאם הניח הישראל בשר על גבי גחלים שלא היה ראוי להתבשל ולצלות ובא עובד כוכבים והפך בהן ונתבשל מותר עכ"ל וצ"ע ונראה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דס"ל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להאו"ה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והרב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דנהי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דמדינא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דש"ס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אסור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מ"מ הא גם חיתוי וקיסם אסור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מדינא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דש"ס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לא היה מתבשל בלא סיוע העובד כוכבים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ואפ"ה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אנו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מתירין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אלא היינו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מטעמא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דקי"ל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דכי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היכי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דמהני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קיסם לעיל סימן קי"ב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ס"י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ה"ה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בבשולי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עובד כוכבים וכמ"ש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הר"ף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בסמ"ק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ואו"ה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כלל מ"ג וא"כ כי היכי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דקיסם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בפת לא שרי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מדינא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דש"ס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כמ"ש הפוסקים בסי' קי"ב אלא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דסמכינן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אמ"ש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בחילופי מנהגים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דבין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בני א"י ובין בני בבל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דמהני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והנח להם לישראל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שיהו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שוגגין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' וכמ"ש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הרא"ש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והטור בסי' קי"ב א"כ ה"ה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בבשולי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עובד כוכבים וכן הרמב"ן שהביא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פא"מ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דחה הך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דקיסם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מש"ס דלעיל ע"ש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ולפ"ז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הא דלא הגיה הרב בסעיף י' מידי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אדברי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המחבר היינו משום שסמך עצמו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אמ"ש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קודם לכן ואפשר לומר דכאן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שהניח הישראל הגחלים הלכך אף על פי שלא היה מתבשל בלא סיוע העובד כוכבים שרי דהוי כהדלקת האש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בהג"ה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ס"ז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דשרי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וטעמא כיון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דהישראל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עשה השלהבת שרי ולקמן סעיף י'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שהניח העובד כוכבים הגחלים והלכך אף על פי שהניח הישראל הבשר ע"ג גחלים כיון דלא היה מתבשל בלא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סיועת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העובד כוכבים אסור אבל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באו"ה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ובת"ח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שם משמע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דבכל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גווני שרי ע"ש וגם כאן משמע דלא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מיתכשר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אלא משום שהניח הישראל הבשר ע"ג גחלים ודוק ומ"מ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דינא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צ"ע כיון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דבש"ס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איתא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דהיכא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דהניח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ישראל בשר ע"ג גחלים ובא עובד כוכבים והפך בו אסור אם לא היה מתבשל בלא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סיועת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העובד כוכבים וכ"כ הפוסקים אלא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דהאו"ה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והרב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מקילין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בזה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ומטעמא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דמדמי להו לקיסם וחיתוי וי"ל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דל"ד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לקיסם וחיתוי כמו שמחלק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הר"ן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פא"מ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C64AE">
        <w:rPr>
          <w:rFonts w:ascii="David" w:hAnsi="David" w:cs="David"/>
          <w:sz w:val="24"/>
          <w:szCs w:val="24"/>
          <w:rtl/>
        </w:rPr>
        <w:t>להדיא</w:t>
      </w:r>
      <w:proofErr w:type="spellEnd"/>
      <w:r w:rsidRPr="004C64AE">
        <w:rPr>
          <w:rFonts w:ascii="David" w:hAnsi="David" w:cs="David"/>
          <w:sz w:val="24"/>
          <w:szCs w:val="24"/>
          <w:rtl/>
        </w:rPr>
        <w:t xml:space="preserve"> ע"ש:</w:t>
      </w:r>
    </w:p>
    <w:sectPr w:rsidR="004C64AE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E6DE" w14:textId="77777777" w:rsidR="00186CE7" w:rsidRDefault="00186CE7" w:rsidP="00103E07">
      <w:pPr>
        <w:spacing w:after="0" w:line="240" w:lineRule="auto"/>
      </w:pPr>
      <w:r>
        <w:separator/>
      </w:r>
    </w:p>
  </w:endnote>
  <w:endnote w:type="continuationSeparator" w:id="0">
    <w:p w14:paraId="543792E9" w14:textId="77777777" w:rsidR="00186CE7" w:rsidRDefault="00186CE7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F004" w14:textId="77777777" w:rsidR="00186CE7" w:rsidRDefault="00186CE7" w:rsidP="00103E07">
      <w:pPr>
        <w:spacing w:after="0" w:line="240" w:lineRule="auto"/>
      </w:pPr>
      <w:r>
        <w:separator/>
      </w:r>
    </w:p>
  </w:footnote>
  <w:footnote w:type="continuationSeparator" w:id="0">
    <w:p w14:paraId="51BC588A" w14:textId="77777777" w:rsidR="00186CE7" w:rsidRDefault="00186CE7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7A01A9" w:rsidRPr="00F958DE" w:rsidRDefault="007A01A9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23855"/>
    <w:rsid w:val="00037A8A"/>
    <w:rsid w:val="00042FD7"/>
    <w:rsid w:val="00080DDD"/>
    <w:rsid w:val="000838A0"/>
    <w:rsid w:val="00085768"/>
    <w:rsid w:val="000875FE"/>
    <w:rsid w:val="000961F0"/>
    <w:rsid w:val="00097D41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67A2"/>
    <w:rsid w:val="00136BF8"/>
    <w:rsid w:val="00137040"/>
    <w:rsid w:val="00137BB9"/>
    <w:rsid w:val="00143E05"/>
    <w:rsid w:val="001640CA"/>
    <w:rsid w:val="00186CE7"/>
    <w:rsid w:val="001A157A"/>
    <w:rsid w:val="001A385B"/>
    <w:rsid w:val="001A6BB7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82F34"/>
    <w:rsid w:val="003B279E"/>
    <w:rsid w:val="003C75A7"/>
    <w:rsid w:val="003D7D29"/>
    <w:rsid w:val="0043537A"/>
    <w:rsid w:val="004602D4"/>
    <w:rsid w:val="00480635"/>
    <w:rsid w:val="00491121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557"/>
    <w:rsid w:val="00507DEA"/>
    <w:rsid w:val="005240D9"/>
    <w:rsid w:val="00537E0F"/>
    <w:rsid w:val="005407C1"/>
    <w:rsid w:val="005754CF"/>
    <w:rsid w:val="00585067"/>
    <w:rsid w:val="005913D5"/>
    <w:rsid w:val="005A1D55"/>
    <w:rsid w:val="005D68DE"/>
    <w:rsid w:val="00612CF1"/>
    <w:rsid w:val="0061362C"/>
    <w:rsid w:val="00624634"/>
    <w:rsid w:val="0062711E"/>
    <w:rsid w:val="00630AD7"/>
    <w:rsid w:val="006606A2"/>
    <w:rsid w:val="006860EC"/>
    <w:rsid w:val="0069608F"/>
    <w:rsid w:val="006B389F"/>
    <w:rsid w:val="006D1399"/>
    <w:rsid w:val="006E2E0A"/>
    <w:rsid w:val="006E5F04"/>
    <w:rsid w:val="00705C1B"/>
    <w:rsid w:val="007209EB"/>
    <w:rsid w:val="00726381"/>
    <w:rsid w:val="00726B16"/>
    <w:rsid w:val="007320E3"/>
    <w:rsid w:val="00775AA2"/>
    <w:rsid w:val="007773C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46D03"/>
    <w:rsid w:val="00854D76"/>
    <w:rsid w:val="008662A2"/>
    <w:rsid w:val="00867D0C"/>
    <w:rsid w:val="00870F13"/>
    <w:rsid w:val="0089165A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A15DE"/>
    <w:rsid w:val="00AA5622"/>
    <w:rsid w:val="00AC28B5"/>
    <w:rsid w:val="00AC3ECF"/>
    <w:rsid w:val="00AE0AD1"/>
    <w:rsid w:val="00AE2557"/>
    <w:rsid w:val="00B0053B"/>
    <w:rsid w:val="00B11B10"/>
    <w:rsid w:val="00B30AEA"/>
    <w:rsid w:val="00B52239"/>
    <w:rsid w:val="00B849FA"/>
    <w:rsid w:val="00B87C6C"/>
    <w:rsid w:val="00B91F47"/>
    <w:rsid w:val="00BC130E"/>
    <w:rsid w:val="00BD5FE8"/>
    <w:rsid w:val="00BE4993"/>
    <w:rsid w:val="00BF62C1"/>
    <w:rsid w:val="00BF6926"/>
    <w:rsid w:val="00C00942"/>
    <w:rsid w:val="00C15890"/>
    <w:rsid w:val="00C41470"/>
    <w:rsid w:val="00C50FDD"/>
    <w:rsid w:val="00C52DAB"/>
    <w:rsid w:val="00C54305"/>
    <w:rsid w:val="00C55005"/>
    <w:rsid w:val="00C70357"/>
    <w:rsid w:val="00C7123B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24E93"/>
    <w:rsid w:val="00D3273F"/>
    <w:rsid w:val="00D57976"/>
    <w:rsid w:val="00D923A8"/>
    <w:rsid w:val="00D95CD0"/>
    <w:rsid w:val="00DA154B"/>
    <w:rsid w:val="00DA3E4F"/>
    <w:rsid w:val="00DA7D57"/>
    <w:rsid w:val="00DA7FFA"/>
    <w:rsid w:val="00DB6520"/>
    <w:rsid w:val="00DB6B61"/>
    <w:rsid w:val="00DC4D52"/>
    <w:rsid w:val="00DE09DB"/>
    <w:rsid w:val="00DF2077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2020-07-12T14:48:00Z</dcterms:created>
  <dcterms:modified xsi:type="dcterms:W3CDTF">2020-07-12T14:48:00Z</dcterms:modified>
</cp:coreProperties>
</file>