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sz w:val="28"/>
          <w:szCs w:val="28"/>
          <w:u w:val="single"/>
          <w:rtl w:val="0"/>
        </w:rPr>
        <w:t xml:space="preserve">Shemot: Our Jewish &amp; not-so-Jewish Names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8"/>
          <w:szCs w:val="28"/>
        </w:rPr>
      </w:pPr>
      <w:r w:rsidDel="00000000" w:rsidR="00000000" w:rsidRPr="00000000">
        <w:rPr>
          <w:rFonts w:ascii="Gentium Book Basic" w:cs="Gentium Book Basic" w:eastAsia="Gentium Book Basic" w:hAnsi="Gentium Book Basic"/>
          <w:b w:val="1"/>
          <w:sz w:val="28"/>
          <w:szCs w:val="28"/>
          <w:u w:val="single"/>
          <w:rtl w:val="0"/>
        </w:rPr>
        <w:t xml:space="preserve">Ba’al HaTurim (R. Yaakov b. Asher, Germany, 1270-1340), Shemot 1</w:t>
      </w:r>
    </w:p>
    <w:p w:rsidR="00000000" w:rsidDel="00000000" w:rsidP="00000000" w:rsidRDefault="00000000" w:rsidRPr="00000000">
      <w:pPr>
        <w:bidi w:val="1"/>
        <w:contextualSpacing w:val="0"/>
        <w:jc w:val="center"/>
      </w:pPr>
      <w:r w:rsidDel="00000000" w:rsidR="00000000" w:rsidRPr="00000000">
        <w:rPr>
          <w:rFonts w:ascii="Narkisim" w:cs="Narkisim" w:eastAsia="Narkisim" w:hAnsi="Narkisim"/>
          <w:sz w:val="24"/>
          <w:szCs w:val="24"/>
          <w:highlight w:val="white"/>
          <w:rtl w:val="0"/>
        </w:rPr>
        <w:t xml:space="preserve"> </w:t>
      </w:r>
      <w:r w:rsidDel="00000000" w:rsidR="00000000" w:rsidRPr="00000000">
        <w:rPr>
          <w:rFonts w:ascii="Narkisim" w:cs="Narkisim" w:eastAsia="Narkisim" w:hAnsi="Narkisim"/>
          <w:sz w:val="28"/>
          <w:szCs w:val="28"/>
          <w:highlight w:val="white"/>
          <w:rtl w:val="0"/>
        </w:rPr>
        <w:t xml:space="preserve"> </w:t>
      </w:r>
      <w:r w:rsidDel="00000000" w:rsidR="00000000" w:rsidRPr="00000000">
        <w:rPr>
          <w:rFonts w:ascii="Narkisim" w:cs="Narkisim" w:eastAsia="Narkisim" w:hAnsi="Narkisim"/>
          <w:sz w:val="26"/>
          <w:szCs w:val="26"/>
          <w:highlight w:val="white"/>
          <w:rtl w:val="1"/>
        </w:rPr>
        <w:t xml:space="preserve">ואלה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b w:val="1"/>
          <w:sz w:val="26"/>
          <w:szCs w:val="26"/>
          <w:highlight w:val="white"/>
          <w:rtl w:val="1"/>
        </w:rPr>
        <w:t xml:space="preserve">ש</w:t>
      </w:r>
      <w:r w:rsidDel="00000000" w:rsidR="00000000" w:rsidRPr="00000000">
        <w:rPr>
          <w:rFonts w:ascii="Narkisim" w:cs="Narkisim" w:eastAsia="Narkisim" w:hAnsi="Narkisim"/>
          <w:sz w:val="26"/>
          <w:szCs w:val="26"/>
          <w:highlight w:val="white"/>
          <w:rtl w:val="1"/>
        </w:rPr>
        <w:t xml:space="preserve">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b w:val="1"/>
          <w:sz w:val="26"/>
          <w:szCs w:val="26"/>
          <w:highlight w:val="white"/>
          <w:rtl w:val="1"/>
        </w:rPr>
        <w:t xml:space="preserve">ב</w:t>
      </w:r>
      <w:r w:rsidDel="00000000" w:rsidR="00000000" w:rsidRPr="00000000">
        <w:rPr>
          <w:rFonts w:ascii="Narkisim" w:cs="Narkisim" w:eastAsia="Narkisim" w:hAnsi="Narkisim"/>
          <w:sz w:val="26"/>
          <w:szCs w:val="26"/>
          <w:highlight w:val="white"/>
          <w:rtl w:val="1"/>
        </w:rPr>
        <w:t xml:space="preserve">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b w:val="1"/>
          <w:sz w:val="26"/>
          <w:szCs w:val="26"/>
          <w:highlight w:val="white"/>
          <w:rtl w:val="1"/>
        </w:rPr>
        <w:t xml:space="preserve">י</w:t>
      </w:r>
      <w:r w:rsidDel="00000000" w:rsidR="00000000" w:rsidRPr="00000000">
        <w:rPr>
          <w:rFonts w:ascii="Narkisim" w:cs="Narkisim" w:eastAsia="Narkisim" w:hAnsi="Narkisim"/>
          <w:sz w:val="26"/>
          <w:szCs w:val="26"/>
          <w:highlight w:val="white"/>
          <w:rtl w:val="1"/>
        </w:rPr>
        <w:t xml:space="preserve">שראל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b w:val="1"/>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באים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ר</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b w:val="1"/>
          <w:sz w:val="26"/>
          <w:szCs w:val="26"/>
          <w:highlight w:val="white"/>
          <w:rtl w:val="1"/>
        </w:rPr>
        <w:t xml:space="preserve">שביה</w:t>
      </w:r>
      <w:r w:rsidDel="00000000" w:rsidR="00000000" w:rsidRPr="00000000">
        <w:rPr>
          <w:rtl w:val="0"/>
        </w:rPr>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שאפילו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כשהיו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בשביה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ישראל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שלא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שינו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וזהו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שאמרו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חז</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פדר</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מח</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בשביל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ג</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דברים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נגאלו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ממצרים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בשביל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שלא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שינו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וכו</w:t>
      </w:r>
      <w:r w:rsidDel="00000000" w:rsidR="00000000" w:rsidRPr="00000000">
        <w:rPr>
          <w:rFonts w:ascii="Narkisim" w:cs="Narkisim" w:eastAsia="Narkisim" w:hAnsi="Narkisim"/>
          <w:sz w:val="26"/>
          <w:szCs w:val="26"/>
          <w:highlight w:val="white"/>
          <w:rtl w:val="1"/>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8"/>
          <w:szCs w:val="28"/>
        </w:rPr>
      </w:pPr>
      <w:r w:rsidDel="00000000" w:rsidR="00000000" w:rsidRPr="00000000">
        <w:rPr>
          <w:rFonts w:ascii="Gentium Book Basic" w:cs="Gentium Book Basic" w:eastAsia="Gentium Book Basic" w:hAnsi="Gentium Book Basic"/>
          <w:b w:val="1"/>
          <w:sz w:val="26"/>
          <w:szCs w:val="26"/>
          <w:u w:val="single"/>
          <w:rtl w:val="0"/>
        </w:rPr>
        <w:t xml:space="preserve">Maharam Schick (</w:t>
      </w:r>
      <w:r w:rsidDel="00000000" w:rsidR="00000000" w:rsidRPr="00000000">
        <w:rPr>
          <w:rFonts w:ascii="Gentium Book Basic" w:cs="Gentium Book Basic" w:eastAsia="Gentium Book Basic" w:hAnsi="Gentium Book Basic"/>
          <w:sz w:val="26"/>
          <w:szCs w:val="26"/>
          <w:u w:val="single"/>
          <w:rtl w:val="0"/>
        </w:rPr>
        <w:t xml:space="preserve">R. Moshe Schick, Hungary, 1807-1879</w:t>
      </w:r>
      <w:r w:rsidDel="00000000" w:rsidR="00000000" w:rsidRPr="00000000">
        <w:rPr>
          <w:rFonts w:ascii="Gentium Book Basic" w:cs="Gentium Book Basic" w:eastAsia="Gentium Book Basic" w:hAnsi="Gentium Book Basic"/>
          <w:b w:val="1"/>
          <w:sz w:val="26"/>
          <w:szCs w:val="26"/>
          <w:u w:val="single"/>
          <w:rtl w:val="0"/>
        </w:rPr>
        <w:t xml:space="preserve">), Y”D #169</w:t>
      </w:r>
    </w:p>
    <w:p w:rsidR="00000000" w:rsidDel="00000000" w:rsidP="00000000" w:rsidRDefault="00000000" w:rsidRPr="00000000">
      <w:pPr>
        <w:bidi w:val="1"/>
        <w:contextualSpacing w:val="0"/>
        <w:jc w:val="center"/>
      </w:pPr>
      <w:r w:rsidDel="00000000" w:rsidR="00000000" w:rsidRPr="00000000">
        <w:rPr>
          <w:rFonts w:ascii="Narkisim" w:cs="Narkisim" w:eastAsia="Narkisim" w:hAnsi="Narkisim"/>
          <w:sz w:val="26"/>
          <w:szCs w:val="26"/>
          <w:highlight w:val="white"/>
          <w:rtl w:val="1"/>
        </w:rPr>
        <w:t xml:space="preserve">ראיתי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שראוי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להשיב</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הדבר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אשר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שיש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אדם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שמכנים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עצמם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הגוים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ומעלתו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נ</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הוכיח</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אותם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דהרי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אמרו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במדרש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שבזכות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זה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שלא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שינו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זכינו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לצאת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ממצרים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משיבים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שלזה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במה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שיש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יהודי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לקרותם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לעלות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לתורה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וזה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דבר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הבל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וטפשות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בוודאי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בזה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איסור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דאוריית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כמ</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הרמב</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בפ</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מהלכו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ז</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דמקרא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מלא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נאמר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בסוף</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פ</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קדושים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ואבדיל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אתכם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העמים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להיות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ומשם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ילפינן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בספרי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דאין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רשאין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לדמות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בשום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אופן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וכל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שהוא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עושה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לדמות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עובר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שנאמר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בתור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דאסור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לדמות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וכשם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שאסור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להדמות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במלבושם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ובהילוכם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ובשאר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מנהגיהם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וכ</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דאסור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לדמות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בשמם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ועלינו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לעשות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כמו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שעשו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אבותינו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שנאמר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ויהי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לגוי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גדול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ודרשו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חכז</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מלמד</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שהיו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ישראל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מצויינים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Gentium Book Basic" w:cs="Gentium Book Basic" w:eastAsia="Gentium Book Basic" w:hAnsi="Gentium Book Basic"/>
          <w:b w:val="1"/>
          <w:sz w:val="26"/>
          <w:szCs w:val="26"/>
          <w:rtl w:val="0"/>
        </w:rPr>
        <w:t xml:space="preserve">:</w:t>
      </w:r>
    </w:p>
    <w:p w:rsidR="00000000" w:rsidDel="00000000" w:rsidP="00000000" w:rsidRDefault="00000000" w:rsidRPr="00000000">
      <w:pPr>
        <w:bidi w:val="1"/>
        <w:contextualSpacing w:val="0"/>
        <w:jc w:val="center"/>
      </w:pPr>
      <w:r w:rsidDel="00000000" w:rsidR="00000000" w:rsidRPr="00000000">
        <w:rPr>
          <w:rtl w:val="0"/>
        </w:rPr>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וכ</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התוס</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בגיטין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דף</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ד</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ב</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ר</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שח</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להזכיר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נכרי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בגט</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ואפילו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בגט</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שאינו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צריכין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להיות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נזהר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לכתוב</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השמות</w:t>
      </w:r>
      <w:r w:rsidDel="00000000" w:rsidR="00000000" w:rsidRPr="00000000">
        <w:rPr>
          <w:rFonts w:ascii="Gentium Book Basic" w:cs="Gentium Book Basic" w:eastAsia="Gentium Book Basic" w:hAnsi="Gentium Book Basic"/>
          <w:sz w:val="26"/>
          <w:szCs w:val="26"/>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rPr>
      </w:pPr>
      <w:r w:rsidDel="00000000" w:rsidR="00000000" w:rsidRPr="00000000">
        <w:rPr>
          <w:rFonts w:ascii="Gentium Book Basic" w:cs="Gentium Book Basic" w:eastAsia="Gentium Book Basic" w:hAnsi="Gentium Book Basic"/>
          <w:b w:val="1"/>
          <w:sz w:val="26"/>
          <w:szCs w:val="26"/>
          <w:u w:val="single"/>
          <w:rtl w:val="0"/>
        </w:rPr>
        <w:t xml:space="preserve">Shu”t Iggerot Moshe (</w:t>
      </w:r>
      <w:r w:rsidDel="00000000" w:rsidR="00000000" w:rsidRPr="00000000">
        <w:rPr>
          <w:rFonts w:ascii="Gentium Book Basic" w:cs="Gentium Book Basic" w:eastAsia="Gentium Book Basic" w:hAnsi="Gentium Book Basic"/>
          <w:sz w:val="26"/>
          <w:szCs w:val="26"/>
          <w:u w:val="single"/>
          <w:rtl w:val="0"/>
        </w:rPr>
        <w:t xml:space="preserve">R. Moshe Feinstein, USA, 1895-1986</w:t>
      </w:r>
      <w:r w:rsidDel="00000000" w:rsidR="00000000" w:rsidRPr="00000000">
        <w:rPr>
          <w:rFonts w:ascii="Gentium Book Basic" w:cs="Gentium Book Basic" w:eastAsia="Gentium Book Basic" w:hAnsi="Gentium Book Basic"/>
          <w:b w:val="1"/>
          <w:sz w:val="26"/>
          <w:szCs w:val="26"/>
          <w:u w:val="single"/>
          <w:rtl w:val="0"/>
        </w:rPr>
        <w:t xml:space="preserve">) O”C 4:66</w:t>
      </w:r>
    </w:p>
    <w:p w:rsidR="00000000" w:rsidDel="00000000" w:rsidP="00000000" w:rsidRDefault="00000000" w:rsidRPr="00000000">
      <w:pPr>
        <w:bidi w:val="1"/>
        <w:contextualSpacing w:val="0"/>
        <w:jc w:val="center"/>
      </w:pPr>
      <w:r w:rsidDel="00000000" w:rsidR="00000000" w:rsidRPr="00000000">
        <w:rPr>
          <w:rFonts w:ascii="Narkisim" w:cs="Narkisim" w:eastAsia="Narkisim" w:hAnsi="Narkisim"/>
          <w:sz w:val="26"/>
          <w:szCs w:val="26"/>
          <w:highlight w:val="white"/>
          <w:rtl w:val="1"/>
        </w:rPr>
        <w:t xml:space="preserve">הנה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בדבר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לעז</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שכתבתי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שאף</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שהוא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דבר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מגונה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אינו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איסור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שלכן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חזינן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שכמה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לעז</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מכל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מדינה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ומדינה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נעשו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במשך</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הזמן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דגלות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הארוך</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שנתחלפו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המדינות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שאף</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שמסתמא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צווחו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מתחלה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נשתקעו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ישראל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עד</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שנקראו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כבר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ישראל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וגם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גאוני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עולם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מגדולי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הראשונים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כבעל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המ</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מ</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ששמו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היה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רבינו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ווידאל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וכמה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גאונים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כדמשכחינן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בתשובות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ראשונים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וגם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מיימון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אביו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הרמב</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כנראה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שהוא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לעז</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שלכן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ח</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לומר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שלא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עשו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כהוגן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דאחרי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שכבר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נתרגלו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ישראל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באלו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בזה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שייכות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לטעם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הגנאי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ואין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לשנות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לקרא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בתו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הזקנים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והזקנות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שנקראו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לעז</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שהוא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ענין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כבוד</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המשפחה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אף</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מדור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הקודם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שעכ</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פ</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איכא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עליו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לכבדם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וגם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בדברי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חז</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במדרשים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איתא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שקורין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עכשיו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הבנים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והבנות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דורות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הקודמים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צריך</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לקרא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כפי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שנקראו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אף</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שהוא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לעז</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בלא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שינוי</w:t>
      </w:r>
      <w:r w:rsidDel="00000000" w:rsidR="00000000" w:rsidRPr="00000000">
        <w:rPr>
          <w:rFonts w:ascii="Narkisim" w:cs="Narkisim" w:eastAsia="Narkisim" w:hAnsi="Narkisim"/>
          <w:sz w:val="26"/>
          <w:szCs w:val="26"/>
          <w:highlight w:val="white"/>
          <w:rtl w:val="1"/>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rPr>
      </w:pPr>
      <w:r w:rsidDel="00000000" w:rsidR="00000000" w:rsidRPr="00000000">
        <w:rPr>
          <w:rFonts w:ascii="Gentium Book Basic" w:cs="Gentium Book Basic" w:eastAsia="Gentium Book Basic" w:hAnsi="Gentium Book Basic"/>
          <w:b w:val="1"/>
          <w:sz w:val="26"/>
          <w:szCs w:val="26"/>
          <w:u w:val="single"/>
          <w:rtl w:val="0"/>
        </w:rPr>
        <w:t xml:space="preserve">Shulchan Arukh (</w:t>
      </w:r>
      <w:r w:rsidDel="00000000" w:rsidR="00000000" w:rsidRPr="00000000">
        <w:rPr>
          <w:rFonts w:ascii="Gentium Book Basic" w:cs="Gentium Book Basic" w:eastAsia="Gentium Book Basic" w:hAnsi="Gentium Book Basic"/>
          <w:sz w:val="26"/>
          <w:szCs w:val="26"/>
          <w:u w:val="single"/>
          <w:rtl w:val="0"/>
        </w:rPr>
        <w:t xml:space="preserve">R. Yosef Karo, Tzfat, 1488-1575</w:t>
      </w:r>
      <w:r w:rsidDel="00000000" w:rsidR="00000000" w:rsidRPr="00000000">
        <w:rPr>
          <w:rFonts w:ascii="Gentium Book Basic" w:cs="Gentium Book Basic" w:eastAsia="Gentium Book Basic" w:hAnsi="Gentium Book Basic"/>
          <w:b w:val="1"/>
          <w:sz w:val="26"/>
          <w:szCs w:val="26"/>
          <w:u w:val="single"/>
          <w:rtl w:val="0"/>
        </w:rPr>
        <w:t xml:space="preserve">), E”H 129:5</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sz w:val="26"/>
          <w:szCs w:val="26"/>
          <w:rtl w:val="0"/>
        </w:rPr>
        <w:t xml:space="preserve">An apostate should not divorce with his secular (idol-worshipping name) but rather with his Jewish name. If he wrote the secular name as the primary name, and then prefaced the Jewish name by the term "who is also called," the get is kosher. </w:t>
      </w:r>
      <w:r w:rsidDel="00000000" w:rsidR="00000000" w:rsidRPr="00000000">
        <w:rPr>
          <w:rFonts w:ascii="Gentium Book Basic" w:cs="Gentium Book Basic" w:eastAsia="Gentium Book Basic" w:hAnsi="Gentium Book Basic"/>
          <w:b w:val="1"/>
          <w:sz w:val="26"/>
          <w:szCs w:val="26"/>
          <w:rtl w:val="0"/>
        </w:rPr>
        <w:t xml:space="preserve">Rama</w:t>
      </w:r>
      <w:r w:rsidDel="00000000" w:rsidR="00000000" w:rsidRPr="00000000">
        <w:rPr>
          <w:rFonts w:ascii="Gentium Book Basic" w:cs="Gentium Book Basic" w:eastAsia="Gentium Book Basic" w:hAnsi="Gentium Book Basic"/>
          <w:sz w:val="26"/>
          <w:szCs w:val="26"/>
          <w:rtl w:val="0"/>
        </w:rPr>
        <w:t xml:space="preserve">: It is preferable to write the Jewish name "and any name and surname which he has”</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u w:val="none"/>
        </w:rPr>
      </w:pPr>
      <w:r w:rsidDel="00000000" w:rsidR="00000000" w:rsidRPr="00000000">
        <w:rPr>
          <w:rFonts w:ascii="Gentium Book Basic" w:cs="Gentium Book Basic" w:eastAsia="Gentium Book Basic" w:hAnsi="Gentium Book Basic"/>
          <w:b w:val="1"/>
          <w:sz w:val="26"/>
          <w:szCs w:val="26"/>
          <w:u w:val="single"/>
          <w:rtl w:val="0"/>
        </w:rPr>
        <w:t xml:space="preserve">Pitchei Teshuva (</w:t>
      </w:r>
      <w:r w:rsidDel="00000000" w:rsidR="00000000" w:rsidRPr="00000000">
        <w:rPr>
          <w:rFonts w:ascii="Gentium Book Basic" w:cs="Gentium Book Basic" w:eastAsia="Gentium Book Basic" w:hAnsi="Gentium Book Basic"/>
          <w:sz w:val="26"/>
          <w:szCs w:val="26"/>
          <w:u w:val="single"/>
          <w:rtl w:val="0"/>
        </w:rPr>
        <w:t xml:space="preserve">R. Avraham Eisenstadt, Lithuania, 1813-1868</w:t>
      </w:r>
      <w:r w:rsidDel="00000000" w:rsidR="00000000" w:rsidRPr="00000000">
        <w:rPr>
          <w:rFonts w:ascii="Gentium Book Basic" w:cs="Gentium Book Basic" w:eastAsia="Gentium Book Basic" w:hAnsi="Gentium Book Basic"/>
          <w:b w:val="1"/>
          <w:sz w:val="26"/>
          <w:szCs w:val="26"/>
          <w:u w:val="single"/>
          <w:rtl w:val="0"/>
        </w:rPr>
        <w:t xml:space="preserve">), E”H 129 </w:t>
      </w:r>
    </w:p>
    <w:p w:rsidR="00000000" w:rsidDel="00000000" w:rsidP="00000000" w:rsidRDefault="00000000" w:rsidRPr="00000000">
      <w:pPr>
        <w:bidi w:val="1"/>
        <w:contextualSpacing w:val="0"/>
        <w:jc w:val="center"/>
      </w:pPr>
      <w:r w:rsidDel="00000000" w:rsidR="00000000" w:rsidRPr="00000000">
        <w:rPr>
          <w:rFonts w:ascii="Narkisim" w:cs="Narkisim" w:eastAsia="Narkisim" w:hAnsi="Narkisim"/>
          <w:sz w:val="26"/>
          <w:szCs w:val="26"/>
          <w:highlight w:val="white"/>
          <w:rtl w:val="1"/>
        </w:rPr>
        <w:t xml:space="preserve">שאין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הטעם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כלל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משום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דזהו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עובדי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עכו</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דהרי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מבואר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בגיטין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ט</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דרוב</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ישראל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שבח</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שמותיהן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כנעני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אלא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דעיקר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הטעם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משום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כיון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שהעובדי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עכו</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קראו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אותו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הזה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בשעה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שהחליף</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דתו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ובטלו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ישראל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זה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חלילה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לנו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להזכירו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בגט</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u w:val="none"/>
        </w:rPr>
      </w:pPr>
      <w:r w:rsidDel="00000000" w:rsidR="00000000" w:rsidRPr="00000000">
        <w:rPr>
          <w:rFonts w:ascii="Gentium Book Basic" w:cs="Gentium Book Basic" w:eastAsia="Gentium Book Basic" w:hAnsi="Gentium Book Basic"/>
          <w:b w:val="1"/>
          <w:sz w:val="26"/>
          <w:szCs w:val="26"/>
          <w:u w:val="single"/>
          <w:rtl w:val="0"/>
        </w:rPr>
        <w:t xml:space="preserve">Shu”t Besamim Rosh (</w:t>
      </w:r>
      <w:r w:rsidDel="00000000" w:rsidR="00000000" w:rsidRPr="00000000">
        <w:rPr>
          <w:rFonts w:ascii="Gentium Book Basic" w:cs="Gentium Book Basic" w:eastAsia="Gentium Book Basic" w:hAnsi="Gentium Book Basic"/>
          <w:sz w:val="26"/>
          <w:szCs w:val="26"/>
          <w:u w:val="single"/>
          <w:rtl w:val="0"/>
        </w:rPr>
        <w:t xml:space="preserve">attributed to R. Asher b. Yehiel, 12th c.</w:t>
      </w:r>
      <w:r w:rsidDel="00000000" w:rsidR="00000000" w:rsidRPr="00000000">
        <w:rPr>
          <w:rFonts w:ascii="Gentium Book Basic" w:cs="Gentium Book Basic" w:eastAsia="Gentium Book Basic" w:hAnsi="Gentium Book Basic"/>
          <w:b w:val="1"/>
          <w:sz w:val="26"/>
          <w:szCs w:val="26"/>
          <w:u w:val="single"/>
          <w:rtl w:val="0"/>
        </w:rPr>
        <w:t xml:space="preserve">), #190</w:t>
      </w:r>
    </w:p>
    <w:p w:rsidR="00000000" w:rsidDel="00000000" w:rsidP="00000000" w:rsidRDefault="00000000" w:rsidRPr="00000000">
      <w:pPr>
        <w:contextualSpacing w:val="0"/>
        <w:jc w:val="center"/>
      </w:pPr>
      <w:r w:rsidDel="00000000" w:rsidR="00000000" w:rsidRPr="00000000">
        <w:drawing>
          <wp:inline distB="114300" distT="114300" distL="114300" distR="114300">
            <wp:extent cx="3000375" cy="249555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3000375" cy="24955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u w:val="none"/>
        </w:rPr>
      </w:pPr>
      <w:r w:rsidDel="00000000" w:rsidR="00000000" w:rsidRPr="00000000">
        <w:rPr>
          <w:rFonts w:ascii="Gentium Book Basic" w:cs="Gentium Book Basic" w:eastAsia="Gentium Book Basic" w:hAnsi="Gentium Book Basic"/>
          <w:b w:val="1"/>
          <w:sz w:val="26"/>
          <w:szCs w:val="26"/>
          <w:u w:val="single"/>
          <w:rtl w:val="0"/>
        </w:rPr>
        <w:t xml:space="preserve">Talmud Bavli, Yoma 38b; Rashi</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sz w:val="26"/>
          <w:szCs w:val="26"/>
          <w:rtl w:val="0"/>
        </w:rPr>
        <w:t xml:space="preserve">What is the phrase, “...but the name of the wicked shall rot”? R. Elazar teaches this to mean that their names will become spoiled and fathers will not use them for their sons [</w:t>
      </w:r>
      <w:r w:rsidDel="00000000" w:rsidR="00000000" w:rsidRPr="00000000">
        <w:rPr>
          <w:rFonts w:ascii="Gentium Book Basic" w:cs="Gentium Book Basic" w:eastAsia="Gentium Book Basic" w:hAnsi="Gentium Book Basic"/>
          <w:b w:val="1"/>
          <w:sz w:val="26"/>
          <w:szCs w:val="26"/>
          <w:rtl w:val="0"/>
        </w:rPr>
        <w:t xml:space="preserve">Rashi</w:t>
      </w:r>
      <w:r w:rsidDel="00000000" w:rsidR="00000000" w:rsidRPr="00000000">
        <w:rPr>
          <w:rFonts w:ascii="Gentium Book Basic" w:cs="Gentium Book Basic" w:eastAsia="Gentium Book Basic" w:hAnsi="Gentium Book Basic"/>
          <w:sz w:val="26"/>
          <w:szCs w:val="26"/>
          <w:rtl w:val="0"/>
        </w:rPr>
        <w:t xml:space="preserve">- that a parent should not name their child the name of an evil person]</w:t>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u w:val="none"/>
        </w:rPr>
      </w:pPr>
      <w:r w:rsidDel="00000000" w:rsidR="00000000" w:rsidRPr="00000000">
        <w:rPr>
          <w:rFonts w:ascii="Gentium Book Basic" w:cs="Gentium Book Basic" w:eastAsia="Gentium Book Basic" w:hAnsi="Gentium Book Basic"/>
          <w:b w:val="1"/>
          <w:sz w:val="26"/>
          <w:szCs w:val="26"/>
          <w:u w:val="single"/>
          <w:rtl w:val="0"/>
        </w:rPr>
        <w:t xml:space="preserve">Maharshdam (</w:t>
      </w:r>
      <w:r w:rsidDel="00000000" w:rsidR="00000000" w:rsidRPr="00000000">
        <w:rPr>
          <w:rFonts w:ascii="Gentium Book Basic" w:cs="Gentium Book Basic" w:eastAsia="Gentium Book Basic" w:hAnsi="Gentium Book Basic"/>
          <w:sz w:val="26"/>
          <w:szCs w:val="26"/>
          <w:u w:val="single"/>
          <w:rtl w:val="0"/>
        </w:rPr>
        <w:t xml:space="preserve">R. Shmuel di Medina, Salonika, 1506-1580</w:t>
      </w:r>
      <w:r w:rsidDel="00000000" w:rsidR="00000000" w:rsidRPr="00000000">
        <w:rPr>
          <w:rFonts w:ascii="Gentium Book Basic" w:cs="Gentium Book Basic" w:eastAsia="Gentium Book Basic" w:hAnsi="Gentium Book Basic"/>
          <w:b w:val="1"/>
          <w:sz w:val="26"/>
          <w:szCs w:val="26"/>
          <w:u w:val="single"/>
          <w:rtl w:val="0"/>
        </w:rPr>
        <w:t xml:space="preserve">), Y”D #199</w:t>
      </w:r>
    </w:p>
    <w:p w:rsidR="00000000" w:rsidDel="00000000" w:rsidP="00000000" w:rsidRDefault="00000000" w:rsidRPr="00000000">
      <w:pPr>
        <w:bidi w:val="1"/>
        <w:contextualSpacing w:val="0"/>
        <w:jc w:val="center"/>
      </w:pPr>
      <w:r w:rsidDel="00000000" w:rsidR="00000000" w:rsidRPr="00000000">
        <w:rPr>
          <w:rFonts w:ascii="Narkisim" w:cs="Narkisim" w:eastAsia="Narkisim" w:hAnsi="Narkisim"/>
          <w:b w:val="1"/>
          <w:sz w:val="26"/>
          <w:szCs w:val="26"/>
          <w:highlight w:val="white"/>
          <w:rtl w:val="1"/>
        </w:rPr>
        <w:t xml:space="preserve">שאלה</w:t>
      </w:r>
      <w:r w:rsidDel="00000000" w:rsidR="00000000" w:rsidRPr="00000000">
        <w:rPr>
          <w:rtl w:val="0"/>
        </w:rPr>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אלו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האנוסים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שבאו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מפורטוגל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והיו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הגוים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ואחר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שבאו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לבקש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ואת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תורתו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משנים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ישראל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ויש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צורך</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לכתוב</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ממקום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אשר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יושבים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ביהדותם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המקום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אשר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היה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הגוי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לקרוביהם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ואם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למי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שנושא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ונותן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ממונם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יכולים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לכתוב</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ולשנות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אשר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היו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בגיותם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חשש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איסור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בדבר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מפני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שנראה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מקיים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היותו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עדין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גוי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ובלתי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מודה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בתורת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Gentium Book Basic" w:cs="Gentium Book Basic" w:eastAsia="Gentium Book Basic" w:hAnsi="Gentium Book Basic"/>
          <w:b w:val="1"/>
          <w:sz w:val="26"/>
          <w:szCs w:val="26"/>
          <w:u w:val="single"/>
          <w:rtl w:val="0"/>
        </w:rPr>
        <w:t xml:space="preserve"> </w:t>
      </w:r>
    </w:p>
    <w:p w:rsidR="00000000" w:rsidDel="00000000" w:rsidP="00000000" w:rsidRDefault="00000000" w:rsidRPr="00000000">
      <w:pPr>
        <w:bidi w:val="1"/>
        <w:contextualSpacing w:val="0"/>
        <w:jc w:val="center"/>
      </w:pPr>
      <w:r w:rsidDel="00000000" w:rsidR="00000000" w:rsidRPr="00000000">
        <w:rPr>
          <w:rtl w:val="0"/>
        </w:rPr>
      </w:r>
      <w:r w:rsidDel="00000000" w:rsidR="00000000" w:rsidRPr="00000000">
        <w:rPr>
          <w:rFonts w:ascii="Narkisim" w:cs="Narkisim" w:eastAsia="Narkisim" w:hAnsi="Narkisim"/>
          <w:b w:val="1"/>
          <w:sz w:val="26"/>
          <w:szCs w:val="26"/>
          <w:highlight w:val="white"/>
          <w:rtl w:val="1"/>
        </w:rPr>
        <w:t xml:space="preserve"> </w:t>
      </w:r>
      <w:r w:rsidDel="00000000" w:rsidR="00000000" w:rsidRPr="00000000">
        <w:rPr>
          <w:rFonts w:ascii="Narkisim" w:cs="Narkisim" w:eastAsia="Narkisim" w:hAnsi="Narkisim"/>
          <w:b w:val="1"/>
          <w:sz w:val="26"/>
          <w:szCs w:val="26"/>
          <w:highlight w:val="white"/>
          <w:rtl w:val="1"/>
        </w:rPr>
        <w:t xml:space="preserve">תשובה</w:t>
      </w:r>
      <w:r w:rsidDel="00000000" w:rsidR="00000000" w:rsidRPr="00000000">
        <w:rPr>
          <w:rtl w:val="0"/>
        </w:rPr>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אמת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מדת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חסידות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קאמינ</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דודאי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מדת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חסידות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הוא</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להרחיק</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האדם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עצמו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בכל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מיני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הרחקת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שאיפשר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ובפרט</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למי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שעברו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ראשו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המים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הזדוני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אכן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הדין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נר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בעיני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דבר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ברו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שאין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בזה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חשש</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איסור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כלל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הגוים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אינם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אסורים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ליהודים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וראיה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לדבר</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דאמרי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בגיטין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הבאים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ממדינת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אעפ</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ששמותיהם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גוים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כשרים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מפני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שרוב</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ישראל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שבחוצה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לארץ</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שמותיהם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כשמות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גוים</w:t>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rPr>
      </w:pPr>
      <w:r w:rsidDel="00000000" w:rsidR="00000000" w:rsidRPr="00000000">
        <w:rPr>
          <w:rFonts w:ascii="Gentium Book Basic" w:cs="Gentium Book Basic" w:eastAsia="Gentium Book Basic" w:hAnsi="Gentium Book Basic"/>
          <w:b w:val="1"/>
          <w:sz w:val="26"/>
          <w:szCs w:val="26"/>
          <w:highlight w:val="white"/>
          <w:u w:val="single"/>
          <w:rtl w:val="0"/>
        </w:rPr>
        <w:t xml:space="preserve">Minchat Asher (</w:t>
      </w:r>
      <w:r w:rsidDel="00000000" w:rsidR="00000000" w:rsidRPr="00000000">
        <w:rPr>
          <w:rFonts w:ascii="Gentium Book Basic" w:cs="Gentium Book Basic" w:eastAsia="Gentium Book Basic" w:hAnsi="Gentium Book Basic"/>
          <w:sz w:val="26"/>
          <w:szCs w:val="26"/>
          <w:highlight w:val="white"/>
          <w:u w:val="single"/>
          <w:rtl w:val="0"/>
        </w:rPr>
        <w:t xml:space="preserve">R. Asher Weiss, Israel, 21st c.</w:t>
      </w:r>
      <w:r w:rsidDel="00000000" w:rsidR="00000000" w:rsidRPr="00000000">
        <w:rPr>
          <w:rFonts w:ascii="Gentium Book Basic" w:cs="Gentium Book Basic" w:eastAsia="Gentium Book Basic" w:hAnsi="Gentium Book Basic"/>
          <w:b w:val="1"/>
          <w:sz w:val="26"/>
          <w:szCs w:val="26"/>
          <w:highlight w:val="white"/>
          <w:u w:val="single"/>
          <w:rtl w:val="0"/>
        </w:rPr>
        <w:t xml:space="preserve">), Shemot p. 4</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sz w:val="26"/>
          <w:szCs w:val="26"/>
          <w:highlight w:val="white"/>
          <w:rtl w:val="0"/>
        </w:rPr>
        <w:t xml:space="preserve">According to these approaches, we can explain the words of ChaZaL that the people did not change their names, their language, or their dress- this means that the main emphasis should be to not</w:t>
      </w:r>
      <w:r w:rsidDel="00000000" w:rsidR="00000000" w:rsidRPr="00000000">
        <w:rPr>
          <w:rFonts w:ascii="Gentium Book Basic" w:cs="Gentium Book Basic" w:eastAsia="Gentium Book Basic" w:hAnsi="Gentium Book Basic"/>
          <w:sz w:val="26"/>
          <w:szCs w:val="26"/>
          <w:highlight w:val="white"/>
          <w:rtl w:val="0"/>
        </w:rPr>
        <w:t xml:space="preserve"> </w:t>
      </w:r>
      <w:r w:rsidDel="00000000" w:rsidR="00000000" w:rsidRPr="00000000">
        <w:rPr>
          <w:rFonts w:ascii="Gentium Book Basic" w:cs="Gentium Book Basic" w:eastAsia="Gentium Book Basic" w:hAnsi="Gentium Book Basic"/>
          <w:sz w:val="26"/>
          <w:szCs w:val="26"/>
          <w:highlight w:val="white"/>
          <w:rtl w:val="0"/>
        </w:rPr>
        <w:t xml:space="preserve">change all three at the same time which would completely eliminate the main symbols of a Jew’s separateness among non-Jews. Nonetheless, for purposes of livelihood or the like, there would be no prohibition to change one’s name </w:t>
      </w:r>
      <w:r w:rsidDel="00000000" w:rsidR="00000000" w:rsidRPr="00000000">
        <w:rPr>
          <w:rFonts w:ascii="Gentium Book Basic" w:cs="Gentium Book Basic" w:eastAsia="Gentium Book Basic" w:hAnsi="Gentium Book Basic"/>
          <w:b w:val="1"/>
          <w:sz w:val="26"/>
          <w:szCs w:val="26"/>
          <w:highlight w:val="white"/>
          <w:rtl w:val="0"/>
        </w:rPr>
        <w:t xml:space="preserve">or </w:t>
      </w:r>
      <w:r w:rsidDel="00000000" w:rsidR="00000000" w:rsidRPr="00000000">
        <w:rPr>
          <w:rFonts w:ascii="Gentium Book Basic" w:cs="Gentium Book Basic" w:eastAsia="Gentium Book Basic" w:hAnsi="Gentium Book Basic"/>
          <w:sz w:val="26"/>
          <w:szCs w:val="26"/>
          <w:highlight w:val="white"/>
          <w:rtl w:val="0"/>
        </w:rPr>
        <w:t xml:space="preserve">one’s dress </w:t>
      </w:r>
      <w:r w:rsidDel="00000000" w:rsidR="00000000" w:rsidRPr="00000000">
        <w:rPr>
          <w:rFonts w:ascii="Gentium Book Basic" w:cs="Gentium Book Basic" w:eastAsia="Gentium Book Basic" w:hAnsi="Gentium Book Basic"/>
          <w:b w:val="1"/>
          <w:sz w:val="26"/>
          <w:szCs w:val="26"/>
          <w:highlight w:val="white"/>
          <w:rtl w:val="0"/>
        </w:rPr>
        <w:t xml:space="preserve">or</w:t>
      </w:r>
      <w:r w:rsidDel="00000000" w:rsidR="00000000" w:rsidRPr="00000000">
        <w:rPr>
          <w:rFonts w:ascii="Gentium Book Basic" w:cs="Gentium Book Basic" w:eastAsia="Gentium Book Basic" w:hAnsi="Gentium Book Basic"/>
          <w:sz w:val="26"/>
          <w:szCs w:val="26"/>
          <w:highlight w:val="white"/>
          <w:rtl w:val="0"/>
        </w:rPr>
        <w:t xml:space="preserve"> one’s language, and the Maharam Schick was concerned about using a non-Jewish name to be more like the non-Jews and separate from the Jewish people like the </w:t>
      </w:r>
      <w:r w:rsidDel="00000000" w:rsidR="00000000" w:rsidRPr="00000000">
        <w:rPr>
          <w:rFonts w:ascii="Gentium Book Basic" w:cs="Gentium Book Basic" w:eastAsia="Gentium Book Basic" w:hAnsi="Gentium Book Basic"/>
          <w:i w:val="1"/>
          <w:sz w:val="26"/>
          <w:szCs w:val="26"/>
          <w:highlight w:val="white"/>
          <w:rtl w:val="0"/>
        </w:rPr>
        <w:t xml:space="preserve">maskilim</w:t>
      </w:r>
      <w:r w:rsidDel="00000000" w:rsidR="00000000" w:rsidRPr="00000000">
        <w:rPr>
          <w:rFonts w:ascii="Gentium Book Basic" w:cs="Gentium Book Basic" w:eastAsia="Gentium Book Basic" w:hAnsi="Gentium Book Basic"/>
          <w:sz w:val="26"/>
          <w:szCs w:val="26"/>
          <w:highlight w:val="white"/>
          <w:rtl w:val="0"/>
        </w:rPr>
        <w:t xml:space="preserve"> and reformers of his generation.</w:t>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Chatam Sofer Al HaTorah (R. Moshe Sofer, Hungary, 1762-1839), Korach</w:t>
      </w:r>
    </w:p>
    <w:p w:rsidR="00000000" w:rsidDel="00000000" w:rsidP="00000000" w:rsidRDefault="00000000" w:rsidRPr="00000000">
      <w:pPr>
        <w:contextualSpacing w:val="0"/>
        <w:jc w:val="center"/>
      </w:pPr>
      <w:r w:rsidDel="00000000" w:rsidR="00000000" w:rsidRPr="00000000">
        <w:drawing>
          <wp:inline distB="114300" distT="114300" distL="114300" distR="114300">
            <wp:extent cx="2932113" cy="1297072"/>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2932113" cy="1297072"/>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Bnei Yissaschar (</w:t>
      </w:r>
      <w:r w:rsidDel="00000000" w:rsidR="00000000" w:rsidRPr="00000000">
        <w:rPr>
          <w:rFonts w:ascii="Gentium Book Basic" w:cs="Gentium Book Basic" w:eastAsia="Gentium Book Basic" w:hAnsi="Gentium Book Basic"/>
          <w:sz w:val="26"/>
          <w:szCs w:val="26"/>
          <w:highlight w:val="white"/>
          <w:u w:val="single"/>
          <w:rtl w:val="0"/>
        </w:rPr>
        <w:t xml:space="preserve">R. Tzvi Elimelech Shapira, Poland, 1783-1841</w:t>
      </w:r>
      <w:r w:rsidDel="00000000" w:rsidR="00000000" w:rsidRPr="00000000">
        <w:rPr>
          <w:rFonts w:ascii="Gentium Book Basic" w:cs="Gentium Book Basic" w:eastAsia="Gentium Book Basic" w:hAnsi="Gentium Book Basic"/>
          <w:b w:val="1"/>
          <w:sz w:val="26"/>
          <w:szCs w:val="26"/>
          <w:highlight w:val="white"/>
          <w:u w:val="single"/>
          <w:rtl w:val="0"/>
        </w:rPr>
        <w:t xml:space="preserve">), Nisan- 4:10</w:t>
      </w:r>
    </w:p>
    <w:p w:rsidR="00000000" w:rsidDel="00000000" w:rsidP="00000000" w:rsidRDefault="00000000" w:rsidRPr="00000000">
      <w:pPr>
        <w:bidi w:val="1"/>
        <w:contextualSpacing w:val="0"/>
        <w:jc w:val="center"/>
      </w:pPr>
      <w:r w:rsidDel="00000000" w:rsidR="00000000" w:rsidRPr="00000000">
        <w:rPr>
          <w:rFonts w:ascii="Narkisim" w:cs="Narkisim" w:eastAsia="Narkisim" w:hAnsi="Narkisim"/>
          <w:sz w:val="24"/>
          <w:szCs w:val="24"/>
          <w:highlight w:val="white"/>
          <w:rtl w:val="1"/>
        </w:rPr>
        <w:t xml:space="preserve">והנה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הדברים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לכאורה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אינם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מובנים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דלמה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להם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לשנות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שמם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ששמו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ראובן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למה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היה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להם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לקרותו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לולייאני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אבל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תדע</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שזהו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הענין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בכל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מלכיות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ממלכי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החטאים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זה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עצתם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ברצותם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שיהיו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ישראל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סרים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למשמעתם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ולפרוק</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עול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התורה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ומצות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משימים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אחר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מסטרא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דילהון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והוא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עצת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הסט</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דהנה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האדם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מתנונע</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ונמשך</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אחר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השם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ועל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ידי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קריאת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השם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הזה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יומשכו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ידו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תנועת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כל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הגוף</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וכל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האיברים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וכוחותיו</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תראה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תיכף</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ישראלי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הראשון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שנכנס</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תחת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ידו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הוא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יוסף</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תיכף</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כמו</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ש</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ויקרא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פרעה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יוסף</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צפנת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פענח</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Divrei Hashkafa (R. JB Soloveitchik, USA, 1903-1993), p. 43</w:t>
      </w:r>
    </w:p>
    <w:p w:rsidR="00000000" w:rsidDel="00000000" w:rsidP="00000000" w:rsidRDefault="00000000" w:rsidRPr="00000000">
      <w:pPr>
        <w:bidi w:val="1"/>
        <w:contextualSpacing w:val="0"/>
        <w:jc w:val="center"/>
      </w:pPr>
      <w:r w:rsidDel="00000000" w:rsidR="00000000" w:rsidRPr="00000000">
        <w:rPr>
          <w:rFonts w:ascii="Narkisim" w:cs="Narkisim" w:eastAsia="Narkisim" w:hAnsi="Narkisim"/>
          <w:sz w:val="24"/>
          <w:szCs w:val="24"/>
          <w:highlight w:val="white"/>
          <w:rtl w:val="1"/>
        </w:rPr>
        <w:t xml:space="preserve">בפסוק</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שאנו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עוסקים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יש</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דבר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והיפוכו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מצד</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אחד</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מבוטאת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ההאשמה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האנטישמית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הנמשכת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בכל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הדורות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כי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היהודים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שונים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וזרים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בכל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החברה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שאנו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מצויים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טענתו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המן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הרשע</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ישנו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אחד</w:t>
      </w:r>
      <w:r w:rsidDel="00000000" w:rsidR="00000000" w:rsidRPr="00000000">
        <w:rPr>
          <w:rtl w:val="0"/>
        </w:rPr>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וכו</w:t>
      </w:r>
      <w:r w:rsidDel="00000000" w:rsidR="00000000" w:rsidRPr="00000000">
        <w:rPr>
          <w:rFonts w:ascii="Narkisim" w:cs="Narkisim" w:eastAsia="Narkisim" w:hAnsi="Narkisim"/>
          <w:sz w:val="24"/>
          <w:szCs w:val="24"/>
          <w:highlight w:val="white"/>
          <w:rtl w:val="1"/>
        </w:rPr>
        <w:t xml:space="preserve">'</w:t>
      </w:r>
      <w:r w:rsidDel="00000000" w:rsidR="00000000" w:rsidRPr="00000000">
        <w:rPr>
          <w:rtl w:val="0"/>
        </w:rPr>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והיא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טענה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פרעה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והיא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טענתם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כל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האנטישמים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היהודים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כך</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מאשימים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אותנו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מסרבים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להיטמע</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לתרבות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השלטת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והמצליחה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דוחים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האופנה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המודרנה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מעדיפים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המעמד</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הבאים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מצרימה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גם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לאחר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דורות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רבים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היאחזות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במקום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הגלות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ומצד</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שני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מבוטאת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בפסוק</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זה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העמדה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היהודית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עלינו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לשמור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ולנצור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זהותנו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ועלינו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להיות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מצוינים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בכל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סביבה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ואווירה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חייבים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להיות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במצב</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הבאים</w:t>
      </w:r>
      <w:r w:rsidDel="00000000" w:rsidR="00000000" w:rsidRPr="00000000">
        <w:rPr>
          <w:rFonts w:ascii="Narkisim" w:cs="Narkisim" w:eastAsia="Narkisim" w:hAnsi="Narkisim"/>
          <w:sz w:val="24"/>
          <w:szCs w:val="24"/>
          <w:highlight w:val="white"/>
          <w:rtl w:val="1"/>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Sefat Emet (R. YAL Alter, Poland, 1847-1905), Shemot [1877]</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highlight w:val="white"/>
          <w:rtl w:val="0"/>
        </w:rPr>
        <w:t xml:space="preserve">Every star and</w:t>
      </w:r>
      <w:r w:rsidDel="00000000" w:rsidR="00000000" w:rsidRPr="00000000">
        <w:rPr>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every angel is created for its own unique mission from G-d, and thus, each are given a name before the mission begins to draw strength from this infused essence… So it is with every Jew, each one has their own unique name which needs to</w:t>
      </w:r>
      <w:r w:rsidDel="00000000" w:rsidR="00000000" w:rsidRPr="00000000">
        <w:rPr>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be realized. It is only when one’s actions are fulfilled for the good can one’s name be realized.</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6"/>
          <w:szCs w:val="26"/>
          <w:highlight w:val="white"/>
          <w:u w:val="none"/>
        </w:rPr>
      </w:pPr>
      <w:r w:rsidDel="00000000" w:rsidR="00000000" w:rsidRPr="00000000">
        <w:rPr>
          <w:rFonts w:ascii="Gentium Book Basic" w:cs="Gentium Book Basic" w:eastAsia="Gentium Book Basic" w:hAnsi="Gentium Book Basic"/>
          <w:b w:val="1"/>
          <w:sz w:val="26"/>
          <w:szCs w:val="26"/>
          <w:highlight w:val="white"/>
          <w:u w:val="single"/>
          <w:rtl w:val="0"/>
        </w:rPr>
        <w:t xml:space="preserve">Seforno (R. Ovadiah Seforno, Italy, 1475-1550), Shemot Ch. 2</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b w:val="1"/>
          <w:sz w:val="24"/>
          <w:szCs w:val="24"/>
          <w:highlight w:val="white"/>
          <w:rtl w:val="0"/>
        </w:rPr>
        <w:t xml:space="preserve">1 And these are the names. </w:t>
      </w:r>
      <w:r w:rsidDel="00000000" w:rsidR="00000000" w:rsidRPr="00000000">
        <w:rPr>
          <w:rFonts w:ascii="Gentium Book Basic" w:cs="Gentium Book Basic" w:eastAsia="Gentium Book Basic" w:hAnsi="Gentium Book Basic"/>
          <w:sz w:val="24"/>
          <w:szCs w:val="24"/>
          <w:highlight w:val="white"/>
          <w:rtl w:val="0"/>
        </w:rPr>
        <w:t xml:space="preserve">The ones mentioned here were on the elevated level to be called by their names, because each one represented their name which is their essence. All of the days of their lives they were like shining lights, and the generation did not turn away to a bad path. However, after their death, the righteous among their children were not as elevated in the eyes of G-d and man.</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highlight w:val="white"/>
          <w:rtl w:val="0"/>
        </w:rPr>
        <w:t xml:space="preserve">10 And she called his name Moses. </w:t>
      </w:r>
      <w:r w:rsidDel="00000000" w:rsidR="00000000" w:rsidRPr="00000000">
        <w:rPr>
          <w:rFonts w:ascii="Cambria" w:cs="Cambria" w:eastAsia="Cambria" w:hAnsi="Cambria"/>
          <w:sz w:val="24"/>
          <w:szCs w:val="24"/>
          <w:highlight w:val="white"/>
          <w:rtl w:val="0"/>
        </w:rPr>
        <w:t xml:space="preserve">He saves and pulls others out of distress.</w:t>
        <w:br w:type="textWrapping"/>
      </w:r>
      <w:r w:rsidDel="00000000" w:rsidR="00000000" w:rsidRPr="00000000">
        <w:rPr>
          <w:rFonts w:ascii="Cambria" w:cs="Cambria" w:eastAsia="Cambria" w:hAnsi="Cambria"/>
          <w:b w:val="1"/>
          <w:sz w:val="24"/>
          <w:szCs w:val="24"/>
          <w:highlight w:val="white"/>
          <w:rtl w:val="0"/>
        </w:rPr>
        <w:t xml:space="preserve">And she said, because he was drawn from the water.</w:t>
      </w:r>
      <w:r w:rsidDel="00000000" w:rsidR="00000000" w:rsidRPr="00000000">
        <w:rPr>
          <w:rFonts w:ascii="Cambria" w:cs="Cambria" w:eastAsia="Cambria" w:hAnsi="Cambria"/>
          <w:sz w:val="24"/>
          <w:szCs w:val="24"/>
          <w:highlight w:val="white"/>
          <w:rtl w:val="0"/>
        </w:rPr>
        <w:t xml:space="preserve"> The reason she called his name Moshe is to reveal that he will save others, for he was drawn from the water after he had been placed there, and this could have only been Divinely orchestrated so that he could be the one to save others.</w:t>
      </w: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arkisim"/>
  <w:font w:name="Cambria"/>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tects Daughter">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ntium Book Basic" w:cs="Gentium Book Basic" w:eastAsia="Gentium Book Basic" w:hAnsi="Gentium Book Basic"/>
        <w:rtl w:val="0"/>
      </w:rPr>
      <w:t xml:space="preserve">Rabbi Ephraim Kleinberg</w:t>
    </w:r>
    <w:r w:rsidDel="00000000" w:rsidR="00000000" w:rsidRPr="00000000">
      <w:rPr>
        <w:rtl w:val="0"/>
      </w:rPr>
      <w:tab/>
      <w:t xml:space="preserve">            </w:t>
      <w:tab/>
      <w:t xml:space="preserve">                                                    </w:t>
    </w:r>
    <w:r w:rsidDel="00000000" w:rsidR="00000000" w:rsidRPr="00000000">
      <w:rPr>
        <w:rtl w:val="0"/>
      </w:rPr>
    </w:r>
    <w:r w:rsidDel="00000000" w:rsidR="00000000" w:rsidRPr="00000000">
      <w:rPr>
        <w:rFonts w:ascii="Narkisim" w:cs="Narkisim" w:eastAsia="Narkisim" w:hAnsi="Narkisim"/>
        <w:b w:val="1"/>
        <w:sz w:val="24"/>
        <w:szCs w:val="24"/>
        <w:highlight w:val="white"/>
        <w:rtl w:val="0"/>
      </w:rPr>
      <w:t xml:space="preserve">   </w:t>
      <w:tab/>
    </w:r>
    <w:r w:rsidDel="00000000" w:rsidR="00000000" w:rsidRPr="00000000">
      <w:rPr>
        <w:rFonts w:ascii="Narkisim" w:cs="Narkisim" w:eastAsia="Narkisim" w:hAnsi="Narkisim"/>
        <w:b w:val="1"/>
        <w:sz w:val="24"/>
        <w:szCs w:val="24"/>
        <w:highlight w:val="white"/>
        <w:rtl w:val="1"/>
      </w:rPr>
      <w:t xml:space="preserve">חורף</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תשע</w:t>
    </w:r>
    <w:r w:rsidDel="00000000" w:rsidR="00000000" w:rsidRPr="00000000">
      <w:rPr>
        <w:rFonts w:ascii="Narkisim" w:cs="Narkisim" w:eastAsia="Narkisim" w:hAnsi="Narkisim"/>
        <w:b w:val="1"/>
        <w:sz w:val="24"/>
        <w:szCs w:val="24"/>
        <w:highlight w:val="white"/>
        <w:rtl w:val="1"/>
      </w:rPr>
      <w:t xml:space="preserve">”</w:t>
    </w:r>
    <w:r w:rsidDel="00000000" w:rsidR="00000000" w:rsidRPr="00000000">
      <w:rPr>
        <w:rFonts w:ascii="Narkisim" w:cs="Narkisim" w:eastAsia="Narkisim" w:hAnsi="Narkisim"/>
        <w:b w:val="1"/>
        <w:sz w:val="24"/>
        <w:szCs w:val="24"/>
        <w:highlight w:val="white"/>
        <w:rtl w:val="1"/>
      </w:rPr>
      <w:t xml:space="preserve">ז</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 Id="rId5" Type="http://schemas.openxmlformats.org/officeDocument/2006/relationships/font" Target="fonts/ArchitectsDaughter-regular.ttf"/></Relationships>
</file>