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B2E0" w14:textId="77777777" w:rsidR="000005CB" w:rsidRPr="00AF6D7E" w:rsidRDefault="00B97B87" w:rsidP="006823E1">
      <w:pPr>
        <w:pStyle w:val="Title"/>
        <w:rPr>
          <w:rtl/>
        </w:rPr>
      </w:pPr>
      <w:r w:rsidRPr="008F2FC0">
        <w:rPr>
          <w:rFonts w:hint="cs"/>
          <w:rtl/>
        </w:rPr>
        <w:t>שיעור</w:t>
      </w:r>
      <w:r w:rsidRPr="00AF6D7E">
        <w:rPr>
          <w:rFonts w:hint="cs"/>
          <w:rtl/>
        </w:rPr>
        <w:t xml:space="preserve"> </w:t>
      </w:r>
      <w:r w:rsidR="009E247D" w:rsidRPr="00AF6D7E">
        <w:rPr>
          <w:rFonts w:hint="cs"/>
          <w:rtl/>
        </w:rPr>
        <w:t>ק</w:t>
      </w:r>
      <w:r w:rsidR="00527574">
        <w:rPr>
          <w:rFonts w:hint="cs"/>
          <w:rtl/>
        </w:rPr>
        <w:t>"</w:t>
      </w:r>
      <w:r w:rsidR="006823E1">
        <w:rPr>
          <w:rFonts w:hint="cs"/>
          <w:rtl/>
        </w:rPr>
        <w:t xml:space="preserve">ג </w:t>
      </w:r>
      <w:r w:rsidR="00527574">
        <w:rPr>
          <w:rFonts w:hint="cs"/>
          <w:rtl/>
        </w:rPr>
        <w:t xml:space="preserve">- חזרה </w:t>
      </w:r>
      <w:r w:rsidR="006823E1">
        <w:rPr>
          <w:rFonts w:hint="cs"/>
          <w:rtl/>
        </w:rPr>
        <w:t>ד</w:t>
      </w:r>
      <w:r w:rsidR="00527574">
        <w:rPr>
          <w:rFonts w:hint="cs"/>
          <w:rtl/>
        </w:rPr>
        <w:t>'</w:t>
      </w:r>
    </w:p>
    <w:p w14:paraId="612E052D" w14:textId="74541FBE" w:rsidR="00EC7C87" w:rsidRDefault="00740762" w:rsidP="00B47435">
      <w:pPr>
        <w:pStyle w:val="Subtitle"/>
        <w:rPr>
          <w:rtl/>
        </w:rPr>
      </w:pPr>
      <w:r>
        <w:rPr>
          <w:rFonts w:hint="cs"/>
          <w:rtl/>
        </w:rPr>
        <w:t>בדין מוחזק</w:t>
      </w:r>
      <w:r w:rsidR="00B47435">
        <w:rPr>
          <w:rFonts w:hint="cs"/>
          <w:rtl/>
        </w:rPr>
        <w:t>, חזקת האם</w:t>
      </w:r>
    </w:p>
    <w:p w14:paraId="41EBEE5B" w14:textId="2BB02BAF" w:rsidR="00E12173" w:rsidRDefault="00E12173" w:rsidP="00E12173">
      <w:pPr>
        <w:pStyle w:val="Heading1"/>
        <w:rPr>
          <w:rtl/>
        </w:rPr>
      </w:pPr>
      <w:r>
        <w:rPr>
          <w:rFonts w:hint="cs"/>
          <w:rtl/>
        </w:rPr>
        <w:t>שבועות מז.</w:t>
      </w:r>
    </w:p>
    <w:p w14:paraId="38325164" w14:textId="77777777" w:rsidR="00E12173" w:rsidRDefault="00E12173" w:rsidP="00E12173">
      <w:pPr>
        <w:pStyle w:val="Heading1"/>
        <w:rPr>
          <w:rtl/>
        </w:rPr>
      </w:pPr>
      <w:r>
        <w:rPr>
          <w:rFonts w:hint="cs"/>
          <w:rtl/>
        </w:rPr>
        <w:t>תוס' בבא מציעא ה. ד"ה שכנגדו</w:t>
      </w:r>
    </w:p>
    <w:p w14:paraId="3D898C54" w14:textId="77777777" w:rsidR="00AF6D7E" w:rsidRDefault="006823E1" w:rsidP="006823E1">
      <w:pPr>
        <w:pStyle w:val="Heading1"/>
        <w:rPr>
          <w:rtl/>
        </w:rPr>
      </w:pPr>
      <w:r>
        <w:rPr>
          <w:rFonts w:hint="cs"/>
          <w:rtl/>
        </w:rPr>
        <w:t>גנת אגוז סי' מ</w:t>
      </w:r>
      <w:r w:rsidR="006B5DAA">
        <w:rPr>
          <w:rFonts w:hint="cs"/>
          <w:rtl/>
        </w:rPr>
        <w:t>: א-ז</w:t>
      </w:r>
    </w:p>
    <w:p w14:paraId="53C7CC95" w14:textId="77777777" w:rsidR="006F0CFD" w:rsidRDefault="006F0CFD" w:rsidP="006F0CFD">
      <w:pPr>
        <w:rPr>
          <w:color w:val="000080"/>
          <w:sz w:val="29"/>
          <w:szCs w:val="29"/>
          <w:shd w:val="clear" w:color="auto" w:fill="FFFFFF"/>
          <w:rtl/>
        </w:rPr>
      </w:pPr>
      <w:r>
        <w:rPr>
          <w:color w:val="000080"/>
          <w:sz w:val="29"/>
          <w:szCs w:val="29"/>
          <w:shd w:val="clear" w:color="auto" w:fill="FFFFFF"/>
          <w:rtl/>
        </w:rPr>
        <w:t>שו</w:t>
      </w:r>
      <w:r>
        <w:rPr>
          <w:color w:val="000080"/>
          <w:sz w:val="29"/>
          <w:szCs w:val="29"/>
          <w:shd w:val="clear" w:color="auto" w:fill="FFFFFF"/>
        </w:rPr>
        <w:t>"</w:t>
      </w:r>
      <w:r>
        <w:rPr>
          <w:color w:val="000080"/>
          <w:sz w:val="29"/>
          <w:szCs w:val="29"/>
          <w:shd w:val="clear" w:color="auto" w:fill="FFFFFF"/>
          <w:rtl/>
        </w:rPr>
        <w:t>ת אגרות משה יורה דעה חלק ב סימן קכז</w:t>
      </w:r>
    </w:p>
    <w:p w14:paraId="6E61D950" w14:textId="77777777" w:rsidR="006F0CFD" w:rsidRDefault="006F0CFD" w:rsidP="006F0CFD">
      <w:pPr>
        <w:rPr>
          <w:rtl/>
        </w:rPr>
      </w:pPr>
      <w:r>
        <w:rPr>
          <w:rtl/>
        </w:rPr>
        <w:t>ואולי מש</w:t>
      </w:r>
      <w:r>
        <w:t>"</w:t>
      </w:r>
      <w:r>
        <w:rPr>
          <w:rtl/>
        </w:rPr>
        <w:t>כ הש</w:t>
      </w:r>
      <w:r>
        <w:t>"</w:t>
      </w:r>
      <w:r>
        <w:rPr>
          <w:rtl/>
        </w:rPr>
        <w:t>ך שם /יו</w:t>
      </w:r>
      <w:r>
        <w:t>"</w:t>
      </w:r>
      <w:r>
        <w:rPr>
          <w:rtl/>
        </w:rPr>
        <w:t>ד סי' קנ</w:t>
      </w:r>
      <w:r>
        <w:t>"</w:t>
      </w:r>
      <w:r>
        <w:rPr>
          <w:rtl/>
        </w:rPr>
        <w:t>ז/ סוף סק</w:t>
      </w:r>
      <w:r>
        <w:t>"</w:t>
      </w:r>
      <w:r>
        <w:rPr>
          <w:rtl/>
        </w:rPr>
        <w:t>י דבערוה דרבנן לכו</w:t>
      </w:r>
      <w:r>
        <w:t>"</w:t>
      </w:r>
      <w:r>
        <w:rPr>
          <w:rtl/>
        </w:rPr>
        <w:t>ע יעבור ואל יהרג ג</w:t>
      </w:r>
      <w:r>
        <w:t>"</w:t>
      </w:r>
      <w:r>
        <w:rPr>
          <w:rtl/>
        </w:rPr>
        <w:t>כ מודה דבחייבי לאוין ליכא דין דיהרג ואל יעבור דאין זה הגלוי עריות שנאמרו בהג' דברים כיון שאין בהן כרת כדכתב רעק</w:t>
      </w:r>
      <w:r>
        <w:t>"</w:t>
      </w:r>
      <w:r>
        <w:rPr>
          <w:rtl/>
        </w:rPr>
        <w:t>א, אבל הוא משום דלהרמב</w:t>
      </w:r>
      <w:r>
        <w:t>"</w:t>
      </w:r>
      <w:r>
        <w:rPr>
          <w:rtl/>
        </w:rPr>
        <w:t>ם אסור וחייב מלקות מעצם האיסור מצד דאין קישוי אלא לדעת שזה איכא אף בחייבי לאוין, שמ</w:t>
      </w:r>
      <w:r>
        <w:t>"</w:t>
      </w:r>
      <w:r>
        <w:rPr>
          <w:rtl/>
        </w:rPr>
        <w:t>מ בערוה דרבנן כגון שניות לא החמירו לאסור אף באונס הריגה ומותר אף להתאוות ולהתרצות מאונס מיתה</w:t>
      </w:r>
      <w:r>
        <w:t>.</w:t>
      </w:r>
      <w:r>
        <w:rPr>
          <w:rFonts w:hint="cs"/>
          <w:rtl/>
        </w:rPr>
        <w:t xml:space="preserve"> </w:t>
      </w:r>
    </w:p>
    <w:p w14:paraId="0AC9C3A0" w14:textId="3ADACD18" w:rsidR="006F0CFD" w:rsidRDefault="006F0CFD" w:rsidP="006F0CFD">
      <w:pPr>
        <w:rPr>
          <w:rtl/>
        </w:rPr>
      </w:pPr>
      <w:r>
        <w:rPr>
          <w:rtl/>
        </w:rPr>
        <w:t>ואם נימא שבאיסורים דרבנן ליכא שם איסור על עצם הדבר אלא שהאיסור הוא מה שאינו שומע להחכמים לא שייך כלל להחמיר דהרי נמצא שאין התאוה שאנוס להתאוות, תאוה להאיסור כיון דבעצם אין זה דבר איסור, ומה שאינו שומע להחכמים הרי זה שייך לעשות שלא ברצון ותאוה, אך אף אם הם איסורים על הדבר כמו איסורים דאורייתא נמי ניחא משום דלא החמירו לאסור אף באונס הריגה אף שבאיסורים דאורייתא כה</w:t>
      </w:r>
      <w:r>
        <w:t>"</w:t>
      </w:r>
      <w:r>
        <w:rPr>
          <w:rtl/>
        </w:rPr>
        <w:t>ג היה אסור</w:t>
      </w:r>
      <w:r>
        <w:t>.</w:t>
      </w:r>
    </w:p>
    <w:p w14:paraId="3D71612D" w14:textId="0071A204" w:rsidR="00D00E2A" w:rsidRDefault="00D00E2A" w:rsidP="00D00E2A">
      <w:pPr>
        <w:pStyle w:val="Heading1"/>
      </w:pPr>
      <w:r>
        <w:rPr>
          <w:rFonts w:hint="cs"/>
          <w:rtl/>
        </w:rPr>
        <w:t>תוס' כתובות כו:, רש"י קידושין סו:</w:t>
      </w:r>
    </w:p>
    <w:p w14:paraId="2BCAA69D" w14:textId="0D38FF90" w:rsidR="00FF1506" w:rsidRPr="00FF1506" w:rsidRDefault="00FF1506" w:rsidP="00FF1506">
      <w:pPr>
        <w:pStyle w:val="Heading1"/>
        <w:rPr>
          <w:rtl/>
        </w:rPr>
      </w:pPr>
      <w:r>
        <w:rPr>
          <w:rFonts w:hint="cs"/>
          <w:rtl/>
        </w:rPr>
        <w:t>רמב"ן כתובות טז:</w:t>
      </w:r>
    </w:p>
    <w:p w14:paraId="03CA6B3C" w14:textId="3FFC80D9" w:rsidR="00827774" w:rsidRDefault="00827774" w:rsidP="00827774">
      <w:pPr>
        <w:pStyle w:val="Heading1"/>
        <w:rPr>
          <w:rtl/>
        </w:rPr>
      </w:pPr>
      <w:hyperlink r:id="rId7" w:history="1">
        <w:r w:rsidR="000632F7" w:rsidRPr="00827774">
          <w:rPr>
            <w:rStyle w:val="Hyperlink"/>
            <w:rFonts w:hint="cs"/>
            <w:rtl/>
          </w:rPr>
          <w:t xml:space="preserve">שו"ת לב אריה ח"א סימן </w:t>
        </w:r>
        <w:r w:rsidRPr="00827774">
          <w:rPr>
            <w:rStyle w:val="Hyperlink"/>
            <w:rFonts w:hint="cs"/>
            <w:rtl/>
          </w:rPr>
          <w:t>נ</w:t>
        </w:r>
      </w:hyperlink>
      <w:r>
        <w:rPr>
          <w:rFonts w:hint="cs"/>
          <w:rtl/>
        </w:rPr>
        <w:t xml:space="preserve"> (</w:t>
      </w:r>
      <w:r>
        <w:t>link</w:t>
      </w:r>
      <w:r>
        <w:rPr>
          <w:rFonts w:hint="cs"/>
          <w:rtl/>
        </w:rPr>
        <w:t>)</w:t>
      </w:r>
      <w:bookmarkStart w:id="0" w:name="_GoBack"/>
      <w:bookmarkEnd w:id="0"/>
    </w:p>
    <w:p w14:paraId="3C73C0DE" w14:textId="77777777" w:rsidR="00D00E2A" w:rsidRPr="00D00E2A" w:rsidRDefault="00D00E2A" w:rsidP="00D00E2A"/>
    <w:sectPr w:rsidR="00D00E2A" w:rsidRPr="00D00E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B1DB3" w14:textId="77777777" w:rsidR="00740762" w:rsidRDefault="00740762" w:rsidP="00AE281B">
      <w:r>
        <w:separator/>
      </w:r>
    </w:p>
  </w:endnote>
  <w:endnote w:type="continuationSeparator" w:id="0">
    <w:p w14:paraId="65DA9142" w14:textId="77777777" w:rsidR="00740762" w:rsidRDefault="00740762"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C571" w14:textId="77777777" w:rsidR="00740762" w:rsidRDefault="00740762">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76ACC" w14:textId="77777777" w:rsidR="00740762" w:rsidRDefault="00740762" w:rsidP="00AE281B">
      <w:r>
        <w:separator/>
      </w:r>
    </w:p>
  </w:footnote>
  <w:footnote w:type="continuationSeparator" w:id="0">
    <w:p w14:paraId="1E6A0F68" w14:textId="77777777" w:rsidR="00740762" w:rsidRDefault="00740762"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5E18" w14:textId="2EE0D71E" w:rsidR="00740762" w:rsidRDefault="00740762" w:rsidP="00C640AF">
    <w:pPr>
      <w:pStyle w:val="Header"/>
      <w:bidi w:val="0"/>
    </w:pPr>
    <w:r>
      <w:rPr>
        <w:rFonts w:hint="cs"/>
        <w:rtl/>
      </w:rPr>
      <w:t xml:space="preserve"> מס' כתובות י</w:t>
    </w:r>
    <w:r w:rsidR="00C640AF">
      <w:rPr>
        <w:rFonts w:hint="cs"/>
        <w:rtl/>
      </w:rPr>
      <w:t>ב:</w:t>
    </w:r>
    <w:r>
      <w:rPr>
        <w:rtl/>
      </w:rPr>
      <w:tab/>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FF1506">
      <w:rPr>
        <w:noProof/>
        <w:rtl/>
      </w:rPr>
      <w:t>‏י"ד אייר תשע"ה</w:t>
    </w:r>
    <w:r>
      <w:rPr>
        <w:rtl/>
      </w:rPr>
      <w:fldChar w:fldCharType="end"/>
    </w:r>
    <w:r>
      <w:rPr>
        <w:rFonts w:hint="cs"/>
        <w:rtl/>
      </w:rPr>
      <w:t xml:space="preserve"> </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E1"/>
    <w:rsid w:val="000005CB"/>
    <w:rsid w:val="000632F7"/>
    <w:rsid w:val="00125C0B"/>
    <w:rsid w:val="002B5A91"/>
    <w:rsid w:val="00527574"/>
    <w:rsid w:val="006823E1"/>
    <w:rsid w:val="006B5DAA"/>
    <w:rsid w:val="006F0CFD"/>
    <w:rsid w:val="00740762"/>
    <w:rsid w:val="007A4624"/>
    <w:rsid w:val="00827774"/>
    <w:rsid w:val="008F2FC0"/>
    <w:rsid w:val="00956A5D"/>
    <w:rsid w:val="00995396"/>
    <w:rsid w:val="009E247D"/>
    <w:rsid w:val="00AE281B"/>
    <w:rsid w:val="00AF6D7E"/>
    <w:rsid w:val="00B47435"/>
    <w:rsid w:val="00B97B87"/>
    <w:rsid w:val="00BC2476"/>
    <w:rsid w:val="00C227FC"/>
    <w:rsid w:val="00C402D8"/>
    <w:rsid w:val="00C5756A"/>
    <w:rsid w:val="00C640AF"/>
    <w:rsid w:val="00D00E2A"/>
    <w:rsid w:val="00D40A69"/>
    <w:rsid w:val="00E12173"/>
    <w:rsid w:val="00EC7C87"/>
    <w:rsid w:val="00FD4DE2"/>
    <w:rsid w:val="00FF15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9D2A"/>
  <w15:chartTrackingRefBased/>
  <w15:docId w15:val="{7A75E68D-B01E-425F-A208-8899A35B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styleId="Hyperlink">
    <w:name w:val="Hyperlink"/>
    <w:basedOn w:val="DefaultParagraphFont"/>
    <w:uiPriority w:val="99"/>
    <w:unhideWhenUsed/>
    <w:rsid w:val="00827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brewbooks.org/pdfpager.aspx?req=979&amp;st=&amp;pgnum=127&amp;hil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83</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10</cp:revision>
  <dcterms:created xsi:type="dcterms:W3CDTF">2015-05-03T15:42:00Z</dcterms:created>
  <dcterms:modified xsi:type="dcterms:W3CDTF">2015-05-04T03:46:00Z</dcterms:modified>
</cp:coreProperties>
</file>