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ABC71" w14:textId="77777777" w:rsidR="000005CB" w:rsidRPr="00AF6D7E" w:rsidRDefault="00BA2963" w:rsidP="00114827">
      <w:pPr>
        <w:pStyle w:val="Title"/>
        <w:rPr>
          <w:rtl/>
        </w:rPr>
      </w:pPr>
      <w:r>
        <w:rPr>
          <w:rFonts w:hint="cs"/>
          <w:rtl/>
        </w:rPr>
        <w:t>עזר לצבי</w:t>
      </w:r>
      <w:r w:rsidR="00527574">
        <w:rPr>
          <w:rFonts w:hint="cs"/>
          <w:rtl/>
        </w:rPr>
        <w:t xml:space="preserve"> </w:t>
      </w:r>
    </w:p>
    <w:p w14:paraId="325C1065" w14:textId="097A88AC" w:rsidR="00EC7C87" w:rsidRDefault="001C6AC8" w:rsidP="00DE0079">
      <w:pPr>
        <w:pStyle w:val="Subtitle"/>
        <w:rPr>
          <w:rtl/>
        </w:rPr>
      </w:pPr>
      <w:r>
        <w:rPr>
          <w:rFonts w:hint="cs"/>
          <w:rtl/>
        </w:rPr>
        <w:t xml:space="preserve">שטרות, </w:t>
      </w:r>
      <w:r w:rsidR="00DE0079">
        <w:rPr>
          <w:rFonts w:hint="cs"/>
          <w:rtl/>
        </w:rPr>
        <w:t xml:space="preserve">בית דין </w:t>
      </w:r>
      <w:proofErr w:type="spellStart"/>
      <w:r w:rsidR="00DE0079">
        <w:rPr>
          <w:rFonts w:hint="cs"/>
          <w:rtl/>
        </w:rPr>
        <w:t>לגיטין</w:t>
      </w:r>
      <w:proofErr w:type="spellEnd"/>
      <w:r w:rsidR="00DE0079">
        <w:rPr>
          <w:rFonts w:hint="cs"/>
          <w:rtl/>
        </w:rPr>
        <w:t>, עוקצי תאנים</w:t>
      </w:r>
    </w:p>
    <w:p w14:paraId="51E045D4" w14:textId="311A3EB5" w:rsidR="003570FC" w:rsidRDefault="003570FC" w:rsidP="003570FC">
      <w:pPr>
        <w:pStyle w:val="Heading3"/>
        <w:rPr>
          <w:rtl/>
        </w:rPr>
      </w:pPr>
      <w:r>
        <w:rPr>
          <w:rFonts w:hint="cs"/>
          <w:rtl/>
        </w:rPr>
        <w:t xml:space="preserve">דעת המתחייב </w:t>
      </w:r>
      <w:proofErr w:type="spellStart"/>
      <w:r>
        <w:rPr>
          <w:rFonts w:hint="cs"/>
          <w:rtl/>
        </w:rPr>
        <w:t>בג</w:t>
      </w:r>
      <w:r w:rsidR="00734EA1">
        <w:rPr>
          <w:rFonts w:hint="cs"/>
          <w:rtl/>
        </w:rPr>
        <w:t>י</w:t>
      </w:r>
      <w:r>
        <w:rPr>
          <w:rFonts w:hint="cs"/>
          <w:rtl/>
        </w:rPr>
        <w:t>טין</w:t>
      </w:r>
      <w:proofErr w:type="spellEnd"/>
      <w:r>
        <w:rPr>
          <w:rFonts w:hint="cs"/>
          <w:rtl/>
        </w:rPr>
        <w:t xml:space="preserve"> וקידושין</w:t>
      </w:r>
    </w:p>
    <w:p w14:paraId="5E5A8C5C" w14:textId="10C51880" w:rsidR="00A84472" w:rsidRDefault="00A84472" w:rsidP="00BA2963">
      <w:pPr>
        <w:pStyle w:val="Heading2"/>
        <w:rPr>
          <w:rtl/>
        </w:rPr>
      </w:pPr>
      <w:r>
        <w:rPr>
          <w:rFonts w:hint="cs"/>
          <w:rtl/>
        </w:rPr>
        <w:t xml:space="preserve">משובב נתיבות </w:t>
      </w:r>
      <w:r w:rsidR="00F90BB4">
        <w:rPr>
          <w:rFonts w:hint="cs"/>
          <w:rtl/>
        </w:rPr>
        <w:t>ל:א ו</w:t>
      </w:r>
      <w:bookmarkStart w:id="0" w:name="_GoBack"/>
      <w:bookmarkEnd w:id="0"/>
      <w:r>
        <w:rPr>
          <w:rFonts w:hint="cs"/>
          <w:rtl/>
        </w:rPr>
        <w:t>סא:ב</w:t>
      </w:r>
    </w:p>
    <w:p w14:paraId="10EDC843" w14:textId="77777777" w:rsidR="00BA2963" w:rsidRDefault="00734E61" w:rsidP="00BA2963">
      <w:pPr>
        <w:pStyle w:val="Heading2"/>
      </w:pPr>
      <w:r>
        <w:rPr>
          <w:rFonts w:hint="cs"/>
          <w:rtl/>
        </w:rPr>
        <w:t xml:space="preserve">קונטרס השטרות </w:t>
      </w:r>
      <w:r>
        <w:rPr>
          <w:rtl/>
        </w:rPr>
        <w:t>–</w:t>
      </w:r>
      <w:r>
        <w:rPr>
          <w:rFonts w:hint="cs"/>
          <w:rtl/>
        </w:rPr>
        <w:t xml:space="preserve"> ארץ הצבי עמ' קנה</w:t>
      </w:r>
    </w:p>
    <w:p w14:paraId="12063C6B" w14:textId="77AADD9C" w:rsidR="00FC1D16" w:rsidRDefault="00FC1D16" w:rsidP="00FC1D16">
      <w:pPr>
        <w:pStyle w:val="Heading3"/>
      </w:pPr>
      <w:r>
        <w:rPr>
          <w:rFonts w:hint="cs"/>
          <w:rtl/>
        </w:rPr>
        <w:t>שטר מעשה בית דין</w:t>
      </w:r>
    </w:p>
    <w:p w14:paraId="7104B197" w14:textId="17886469" w:rsidR="00FC1D16" w:rsidRDefault="00FC1D16" w:rsidP="00B54C1E">
      <w:pPr>
        <w:pStyle w:val="Heading2"/>
      </w:pPr>
      <w:r>
        <w:rPr>
          <w:rFonts w:hint="cs"/>
          <w:rtl/>
        </w:rPr>
        <w:t>יבמות לט</w:t>
      </w:r>
    </w:p>
    <w:p w14:paraId="71D17458" w14:textId="4ECA3058" w:rsidR="00B54C1E" w:rsidRPr="00B54C1E" w:rsidRDefault="00B54C1E" w:rsidP="00B54C1E">
      <w:pPr>
        <w:pStyle w:val="Heading2"/>
      </w:pPr>
      <w:r>
        <w:rPr>
          <w:rFonts w:hint="cs"/>
          <w:rtl/>
        </w:rPr>
        <w:t xml:space="preserve">מפניני הרב עמ' </w:t>
      </w:r>
      <w:proofErr w:type="spellStart"/>
      <w:r>
        <w:rPr>
          <w:rFonts w:hint="cs"/>
          <w:rtl/>
        </w:rPr>
        <w:t>רעט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בענין</w:t>
      </w:r>
      <w:proofErr w:type="spellEnd"/>
      <w:r>
        <w:rPr>
          <w:rFonts w:hint="cs"/>
          <w:rtl/>
        </w:rPr>
        <w:t xml:space="preserve"> הפטור</w:t>
      </w:r>
    </w:p>
    <w:p w14:paraId="0D287674" w14:textId="415D026B" w:rsidR="00BA2963" w:rsidRDefault="000A5762" w:rsidP="00BA2963">
      <w:pPr>
        <w:pStyle w:val="Heading3"/>
        <w:rPr>
          <w:rtl/>
        </w:rPr>
      </w:pPr>
      <w:r>
        <w:rPr>
          <w:rFonts w:hint="cs"/>
          <w:rtl/>
        </w:rPr>
        <w:t>טיב גיטין וקידושין</w:t>
      </w:r>
      <w:r w:rsidR="00F34756">
        <w:rPr>
          <w:rFonts w:hint="cs"/>
          <w:rtl/>
        </w:rPr>
        <w:t xml:space="preserve"> </w:t>
      </w:r>
      <w:r w:rsidR="00F34756">
        <w:rPr>
          <w:rtl/>
        </w:rPr>
        <w:t>–</w:t>
      </w:r>
      <w:r w:rsidR="00F34756">
        <w:rPr>
          <w:rFonts w:hint="cs"/>
          <w:rtl/>
        </w:rPr>
        <w:t xml:space="preserve"> מסירת גט וכתיבת פטור בלילה</w:t>
      </w:r>
    </w:p>
    <w:p w14:paraId="5EF02C85" w14:textId="542FFD4C" w:rsidR="009825CD" w:rsidRDefault="009825CD" w:rsidP="00634DFF">
      <w:pPr>
        <w:pStyle w:val="Heading2"/>
        <w:rPr>
          <w:rtl/>
        </w:rPr>
      </w:pPr>
      <w:r>
        <w:rPr>
          <w:rFonts w:hint="cs"/>
          <w:rtl/>
        </w:rPr>
        <w:t>קידושין</w:t>
      </w:r>
      <w:r w:rsidR="00BC235D">
        <w:rPr>
          <w:rFonts w:hint="cs"/>
          <w:rtl/>
        </w:rPr>
        <w:t xml:space="preserve"> ו.</w:t>
      </w:r>
    </w:p>
    <w:p w14:paraId="710B28FA" w14:textId="6A00E54E" w:rsidR="00BC235D" w:rsidRPr="00BC235D" w:rsidRDefault="00BC235D" w:rsidP="00BC235D">
      <w:pPr>
        <w:rPr>
          <w:rtl/>
        </w:rPr>
      </w:pPr>
      <w:proofErr w:type="spellStart"/>
      <w:r w:rsidRPr="00BC235D">
        <w:rPr>
          <w:rtl/>
        </w:rPr>
        <w:t>דאמר</w:t>
      </w:r>
      <w:proofErr w:type="spellEnd"/>
      <w:r w:rsidRPr="00BC235D">
        <w:rPr>
          <w:rtl/>
        </w:rPr>
        <w:t xml:space="preserve"> רב יהודה אמר שמואל: כל שאינו יודע בטיב גיטין וקידושין לא יהא לו עסק עמהם</w:t>
      </w:r>
    </w:p>
    <w:p w14:paraId="6E70471C" w14:textId="2FFBA17E" w:rsidR="000A5762" w:rsidRDefault="00634DFF" w:rsidP="00634DFF">
      <w:pPr>
        <w:pStyle w:val="Heading2"/>
        <w:rPr>
          <w:rtl/>
        </w:rPr>
      </w:pPr>
      <w:r>
        <w:rPr>
          <w:rFonts w:hint="cs"/>
          <w:rtl/>
        </w:rPr>
        <w:t xml:space="preserve">שלחן ערוך יורה דעה </w:t>
      </w:r>
      <w:proofErr w:type="spellStart"/>
      <w:r>
        <w:rPr>
          <w:rFonts w:hint="cs"/>
          <w:rtl/>
        </w:rPr>
        <w:t>רמב:יד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בהג"ה</w:t>
      </w:r>
      <w:proofErr w:type="spellEnd"/>
    </w:p>
    <w:p w14:paraId="309DC782" w14:textId="36716854" w:rsidR="00634DFF" w:rsidRDefault="00634DFF" w:rsidP="00634DFF">
      <w:pPr>
        <w:rPr>
          <w:rtl/>
        </w:rPr>
      </w:pPr>
      <w:r w:rsidRPr="00634DFF">
        <w:rPr>
          <w:rtl/>
        </w:rPr>
        <w:t xml:space="preserve">ועוד נ"ל שמותר לתת מורינו לאחד שיסדר גיטין, </w:t>
      </w:r>
      <w:proofErr w:type="spellStart"/>
      <w:r w:rsidRPr="00634DFF">
        <w:rPr>
          <w:rtl/>
        </w:rPr>
        <w:t>כב</w:t>
      </w:r>
      <w:proofErr w:type="spellEnd"/>
      <w:r w:rsidRPr="00634DFF">
        <w:rPr>
          <w:rtl/>
        </w:rPr>
        <w:t xml:space="preserve"> ואף על פי שמדין הסמיכה שבימים הראשונים לא הוי </w:t>
      </w:r>
      <w:proofErr w:type="spellStart"/>
      <w:r w:rsidRPr="00634DFF">
        <w:rPr>
          <w:rtl/>
        </w:rPr>
        <w:t>דינא</w:t>
      </w:r>
      <w:proofErr w:type="spellEnd"/>
      <w:r w:rsidRPr="00634DFF">
        <w:rPr>
          <w:rtl/>
        </w:rPr>
        <w:t xml:space="preserve"> הכי, מ"מ עכשיו אינו אלא נטילת רשות בעלמא ושרי.</w:t>
      </w:r>
    </w:p>
    <w:p w14:paraId="4F335001" w14:textId="389F460F" w:rsidR="00AF5616" w:rsidRDefault="00AF5616" w:rsidP="00AF5616">
      <w:pPr>
        <w:pStyle w:val="Heading2"/>
        <w:rPr>
          <w:rtl/>
        </w:rPr>
      </w:pPr>
      <w:r>
        <w:rPr>
          <w:rFonts w:hint="cs"/>
          <w:rtl/>
        </w:rPr>
        <w:t xml:space="preserve">ביאור </w:t>
      </w:r>
      <w:proofErr w:type="spellStart"/>
      <w:r>
        <w:rPr>
          <w:rFonts w:hint="cs"/>
          <w:rtl/>
        </w:rPr>
        <w:t>הגר"א</w:t>
      </w:r>
      <w:proofErr w:type="spellEnd"/>
      <w:r>
        <w:rPr>
          <w:rFonts w:hint="cs"/>
          <w:rtl/>
        </w:rPr>
        <w:t xml:space="preserve"> שם </w:t>
      </w:r>
      <w:proofErr w:type="spellStart"/>
      <w:r>
        <w:rPr>
          <w:rFonts w:hint="cs"/>
          <w:rtl/>
        </w:rPr>
        <w:t>ס"ק</w:t>
      </w:r>
      <w:proofErr w:type="spellEnd"/>
      <w:r>
        <w:rPr>
          <w:rFonts w:hint="cs"/>
          <w:rtl/>
        </w:rPr>
        <w:t xml:space="preserve"> לב</w:t>
      </w:r>
    </w:p>
    <w:p w14:paraId="26E19F0C" w14:textId="0C5E8E7F" w:rsidR="00AF5616" w:rsidRPr="00AF5616" w:rsidRDefault="00AF5616" w:rsidP="00AF5616">
      <w:pPr>
        <w:rPr>
          <w:rtl/>
        </w:rPr>
      </w:pPr>
      <w:r w:rsidRPr="00AF5616">
        <w:rPr>
          <w:rtl/>
        </w:rPr>
        <w:t xml:space="preserve">וי"א דמי </w:t>
      </w:r>
      <w:proofErr w:type="spellStart"/>
      <w:r w:rsidRPr="00AF5616">
        <w:rPr>
          <w:rtl/>
        </w:rPr>
        <w:t>כו</w:t>
      </w:r>
      <w:proofErr w:type="spellEnd"/>
      <w:r w:rsidRPr="00AF5616">
        <w:rPr>
          <w:rtl/>
        </w:rPr>
        <w:t xml:space="preserve">'. ע"ש </w:t>
      </w:r>
      <w:proofErr w:type="spellStart"/>
      <w:r w:rsidRPr="00AF5616">
        <w:rPr>
          <w:rtl/>
        </w:rPr>
        <w:t>במהרי"ו</w:t>
      </w:r>
      <w:proofErr w:type="spellEnd"/>
      <w:r w:rsidRPr="00AF5616">
        <w:rPr>
          <w:rtl/>
        </w:rPr>
        <w:t xml:space="preserve"> שכתב שמא אינו בקי:</w:t>
      </w:r>
    </w:p>
    <w:p w14:paraId="481F5962" w14:textId="219646F5" w:rsidR="0079169A" w:rsidRDefault="0079169A" w:rsidP="00563865">
      <w:pPr>
        <w:pStyle w:val="Heading2"/>
        <w:rPr>
          <w:rtl/>
        </w:rPr>
      </w:pPr>
      <w:r>
        <w:rPr>
          <w:rFonts w:hint="cs"/>
          <w:rtl/>
        </w:rPr>
        <w:t xml:space="preserve">שלחן ערוך אבן העזר </w:t>
      </w:r>
      <w:proofErr w:type="spellStart"/>
      <w:r>
        <w:rPr>
          <w:rFonts w:hint="cs"/>
          <w:rtl/>
        </w:rPr>
        <w:t>קכג:ה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בהג"ה</w:t>
      </w:r>
      <w:proofErr w:type="spellEnd"/>
    </w:p>
    <w:p w14:paraId="68E54ADF" w14:textId="43794480" w:rsidR="0079169A" w:rsidRPr="0079169A" w:rsidRDefault="0079169A" w:rsidP="0079169A">
      <w:pPr>
        <w:rPr>
          <w:rtl/>
        </w:rPr>
      </w:pPr>
      <w:r w:rsidRPr="0079169A">
        <w:rPr>
          <w:rtl/>
        </w:rPr>
        <w:t>ואין לגרש בלילה, ואם גירש בלילה י"א דהוי גט פסול (ר"י מינץ)</w:t>
      </w:r>
      <w:r w:rsidR="00ED4BC4">
        <w:rPr>
          <w:rStyle w:val="FootnoteReference"/>
          <w:rtl/>
        </w:rPr>
        <w:footnoteReference w:id="1"/>
      </w:r>
    </w:p>
    <w:p w14:paraId="343C0565" w14:textId="2BA82705" w:rsidR="00AE6DDB" w:rsidRDefault="00AD4935" w:rsidP="00563865">
      <w:pPr>
        <w:pStyle w:val="Heading2"/>
        <w:rPr>
          <w:rtl/>
        </w:rPr>
      </w:pPr>
      <w:r>
        <w:rPr>
          <w:rFonts w:hint="cs"/>
          <w:rtl/>
        </w:rPr>
        <w:t xml:space="preserve">שלחן ערוך אבן העזר </w:t>
      </w:r>
      <w:proofErr w:type="spellStart"/>
      <w:r>
        <w:rPr>
          <w:rFonts w:hint="cs"/>
          <w:rtl/>
        </w:rPr>
        <w:t>קמב:ג</w:t>
      </w:r>
      <w:r w:rsidR="00563865">
        <w:rPr>
          <w:rFonts w:hint="cs"/>
          <w:rtl/>
        </w:rPr>
        <w:t>-ד</w:t>
      </w:r>
      <w:proofErr w:type="spellEnd"/>
    </w:p>
    <w:p w14:paraId="5D3093EF" w14:textId="25F86864" w:rsidR="00563865" w:rsidRDefault="00563865" w:rsidP="00563865">
      <w:pPr>
        <w:pStyle w:val="Heading2"/>
        <w:rPr>
          <w:rtl/>
        </w:rPr>
      </w:pPr>
      <w:r>
        <w:rPr>
          <w:rFonts w:hint="cs"/>
          <w:rtl/>
        </w:rPr>
        <w:t>ים של שלמה כתובות א:ב</w:t>
      </w:r>
    </w:p>
    <w:p w14:paraId="28BAEBE5" w14:textId="3411464B" w:rsidR="00563865" w:rsidRPr="00563865" w:rsidRDefault="00563865" w:rsidP="00563865">
      <w:r w:rsidRPr="00563865">
        <w:rPr>
          <w:rtl/>
        </w:rPr>
        <w:t xml:space="preserve">דין בדיעבד אין חשש בנתינת הגט בלילה, על ידי שליח, </w:t>
      </w:r>
      <w:proofErr w:type="spellStart"/>
      <w:r w:rsidRPr="00563865">
        <w:rPr>
          <w:rtl/>
        </w:rPr>
        <w:t>והיכא</w:t>
      </w:r>
      <w:proofErr w:type="spellEnd"/>
      <w:r w:rsidRPr="00563865">
        <w:rPr>
          <w:rtl/>
        </w:rPr>
        <w:t xml:space="preserve"> </w:t>
      </w:r>
      <w:proofErr w:type="spellStart"/>
      <w:r w:rsidRPr="00563865">
        <w:rPr>
          <w:rtl/>
        </w:rPr>
        <w:t>דאיכא</w:t>
      </w:r>
      <w:proofErr w:type="spellEnd"/>
      <w:r w:rsidRPr="00563865">
        <w:rPr>
          <w:rtl/>
        </w:rPr>
        <w:t xml:space="preserve"> חשש </w:t>
      </w:r>
      <w:proofErr w:type="spellStart"/>
      <w:r w:rsidRPr="00563865">
        <w:rPr>
          <w:rtl/>
        </w:rPr>
        <w:t>עיגונא</w:t>
      </w:r>
      <w:proofErr w:type="spellEnd"/>
      <w:r w:rsidRPr="00563865">
        <w:rPr>
          <w:rtl/>
        </w:rPr>
        <w:t xml:space="preserve">, נותנו אפילו על ידי הבעל, וכל </w:t>
      </w:r>
      <w:r w:rsidR="00230556">
        <w:rPr>
          <w:rtl/>
        </w:rPr>
        <w:t xml:space="preserve">שכן </w:t>
      </w:r>
      <w:proofErr w:type="spellStart"/>
      <w:r w:rsidR="00230556">
        <w:rPr>
          <w:rtl/>
        </w:rPr>
        <w:t>שיכולין</w:t>
      </w:r>
      <w:proofErr w:type="spellEnd"/>
      <w:r w:rsidR="00230556">
        <w:rPr>
          <w:rtl/>
        </w:rPr>
        <w:t xml:space="preserve"> לכותבו </w:t>
      </w:r>
      <w:proofErr w:type="spellStart"/>
      <w:r w:rsidR="00230556">
        <w:rPr>
          <w:rtl/>
        </w:rPr>
        <w:t>וליתנו</w:t>
      </w:r>
      <w:proofErr w:type="spellEnd"/>
      <w:r w:rsidR="00230556">
        <w:rPr>
          <w:rtl/>
        </w:rPr>
        <w:t xml:space="preserve"> בלילה</w:t>
      </w:r>
      <w:r w:rsidR="00230556">
        <w:rPr>
          <w:rFonts w:hint="cs"/>
          <w:rtl/>
        </w:rPr>
        <w:t>...</w:t>
      </w:r>
    </w:p>
    <w:p w14:paraId="2D9E9882" w14:textId="375D1D51" w:rsidR="00563865" w:rsidRDefault="00070CBF" w:rsidP="00070CBF">
      <w:pPr>
        <w:pStyle w:val="Heading2"/>
        <w:rPr>
          <w:rtl/>
        </w:rPr>
      </w:pPr>
      <w:r>
        <w:rPr>
          <w:rtl/>
        </w:rPr>
        <w:t>רש"י</w:t>
      </w:r>
      <w:r w:rsidRPr="00070CBF">
        <w:rPr>
          <w:rtl/>
        </w:rPr>
        <w:t xml:space="preserve"> סנהדרין </w:t>
      </w:r>
      <w:r>
        <w:rPr>
          <w:rFonts w:hint="cs"/>
          <w:rtl/>
        </w:rPr>
        <w:t xml:space="preserve">ב. </w:t>
      </w:r>
      <w:r w:rsidRPr="00070CBF">
        <w:rPr>
          <w:rtl/>
        </w:rPr>
        <w:t xml:space="preserve">בד"ה </w:t>
      </w:r>
      <w:proofErr w:type="spellStart"/>
      <w:r w:rsidRPr="00070CBF">
        <w:rPr>
          <w:rtl/>
        </w:rPr>
        <w:t>המיאונין</w:t>
      </w:r>
      <w:proofErr w:type="spellEnd"/>
    </w:p>
    <w:p w14:paraId="2020990D" w14:textId="093EC33E" w:rsidR="0028003D" w:rsidRDefault="00CB7ECA" w:rsidP="0028003D">
      <w:pPr>
        <w:pStyle w:val="Heading2"/>
      </w:pPr>
      <w:r>
        <w:rPr>
          <w:rFonts w:hint="cs"/>
          <w:rtl/>
        </w:rPr>
        <w:t xml:space="preserve">שו"ת </w:t>
      </w:r>
      <w:r w:rsidR="0028003D">
        <w:rPr>
          <w:rtl/>
        </w:rPr>
        <w:t>נ</w:t>
      </w:r>
      <w:r w:rsidR="0028003D">
        <w:rPr>
          <w:rFonts w:hint="cs"/>
          <w:rtl/>
        </w:rPr>
        <w:t xml:space="preserve">ודע ביהודה </w:t>
      </w:r>
      <w:proofErr w:type="spellStart"/>
      <w:r w:rsidR="0028003D" w:rsidRPr="0028003D">
        <w:rPr>
          <w:rtl/>
        </w:rPr>
        <w:t>תניינא</w:t>
      </w:r>
      <w:proofErr w:type="spellEnd"/>
      <w:r w:rsidR="0028003D" w:rsidRPr="0028003D">
        <w:rPr>
          <w:rtl/>
        </w:rPr>
        <w:t xml:space="preserve"> </w:t>
      </w:r>
      <w:r w:rsidR="0028003D">
        <w:rPr>
          <w:rFonts w:hint="cs"/>
          <w:rtl/>
        </w:rPr>
        <w:t xml:space="preserve">אבן העזר </w:t>
      </w:r>
      <w:r w:rsidR="0028003D" w:rsidRPr="0028003D">
        <w:rPr>
          <w:rtl/>
        </w:rPr>
        <w:t>סי' קי"ד</w:t>
      </w:r>
    </w:p>
    <w:p w14:paraId="321EFB52" w14:textId="5AEADEAF" w:rsidR="004063F1" w:rsidRDefault="004063F1" w:rsidP="004063F1">
      <w:pPr>
        <w:pStyle w:val="Heading2"/>
        <w:rPr>
          <w:rtl/>
        </w:rPr>
      </w:pPr>
      <w:r>
        <w:rPr>
          <w:rFonts w:hint="cs"/>
          <w:rtl/>
        </w:rPr>
        <w:t>שלחן ערוך סידור הגט סימן פח-פט</w:t>
      </w:r>
    </w:p>
    <w:p w14:paraId="56C1912A" w14:textId="3A738B27" w:rsidR="004063F1" w:rsidRPr="004063F1" w:rsidRDefault="004063F1" w:rsidP="004063F1">
      <w:r w:rsidRPr="004063F1">
        <w:rPr>
          <w:rtl/>
        </w:rPr>
        <w:t>נתינת הגט, יש מי שאומר שצריך להיות ביום ולא בלילה</w:t>
      </w:r>
      <w:r>
        <w:rPr>
          <w:rFonts w:hint="cs"/>
          <w:rtl/>
        </w:rPr>
        <w:t>...</w:t>
      </w:r>
      <w:r w:rsidRPr="004063F1">
        <w:rPr>
          <w:rtl/>
        </w:rPr>
        <w:t xml:space="preserve"> </w:t>
      </w:r>
      <w:r>
        <w:rPr>
          <w:rtl/>
        </w:rPr>
        <w:t>אם לא</w:t>
      </w:r>
      <w:r w:rsidRPr="004063F1">
        <w:rPr>
          <w:rtl/>
        </w:rPr>
        <w:t xml:space="preserve"> בשעת הדחק שאז אפי' בלילה ממש </w:t>
      </w:r>
      <w:proofErr w:type="spellStart"/>
      <w:r w:rsidRPr="004063F1">
        <w:rPr>
          <w:rtl/>
        </w:rPr>
        <w:t>יכתב</w:t>
      </w:r>
      <w:proofErr w:type="spellEnd"/>
      <w:r w:rsidRPr="004063F1">
        <w:rPr>
          <w:rtl/>
        </w:rPr>
        <w:t xml:space="preserve"> </w:t>
      </w:r>
      <w:proofErr w:type="spellStart"/>
      <w:r w:rsidRPr="004063F1">
        <w:rPr>
          <w:rtl/>
        </w:rPr>
        <w:t>וינתן</w:t>
      </w:r>
      <w:proofErr w:type="spellEnd"/>
      <w:r w:rsidRPr="004063F1">
        <w:rPr>
          <w:rtl/>
        </w:rPr>
        <w:t>.</w:t>
      </w:r>
      <w:r w:rsidR="00FE408A">
        <w:rPr>
          <w:rStyle w:val="FootnoteReference"/>
          <w:rtl/>
        </w:rPr>
        <w:footnoteReference w:id="2"/>
      </w:r>
    </w:p>
    <w:p w14:paraId="07E4B075" w14:textId="5F5F69E3" w:rsidR="00377CF0" w:rsidRDefault="00377CF0" w:rsidP="00377CF0">
      <w:pPr>
        <w:pStyle w:val="Heading3"/>
        <w:rPr>
          <w:rtl/>
        </w:rPr>
      </w:pPr>
      <w:r>
        <w:rPr>
          <w:rFonts w:hint="cs"/>
          <w:rtl/>
        </w:rPr>
        <w:t>אין עד נעשה דיין</w:t>
      </w:r>
    </w:p>
    <w:p w14:paraId="3CB3F8DF" w14:textId="621D9A54" w:rsidR="00377CF0" w:rsidRDefault="00377CF0" w:rsidP="00377CF0">
      <w:pPr>
        <w:pStyle w:val="Heading2"/>
        <w:rPr>
          <w:rtl/>
        </w:rPr>
      </w:pPr>
      <w:r>
        <w:rPr>
          <w:rFonts w:hint="cs"/>
          <w:rtl/>
        </w:rPr>
        <w:t xml:space="preserve">בית שמואל </w:t>
      </w:r>
      <w:proofErr w:type="spellStart"/>
      <w:r>
        <w:rPr>
          <w:rFonts w:hint="cs"/>
          <w:rtl/>
        </w:rPr>
        <w:t>קמא:מג</w:t>
      </w:r>
      <w:proofErr w:type="spellEnd"/>
    </w:p>
    <w:p w14:paraId="72953BA2" w14:textId="7D23CAC4" w:rsidR="00377CF0" w:rsidRDefault="00377CF0" w:rsidP="00377CF0">
      <w:r w:rsidRPr="00377CF0">
        <w:rPr>
          <w:rtl/>
        </w:rPr>
        <w:t xml:space="preserve">כתב </w:t>
      </w:r>
      <w:proofErr w:type="spellStart"/>
      <w:r w:rsidRPr="00377CF0">
        <w:rPr>
          <w:rtl/>
        </w:rPr>
        <w:t>הריב"ש</w:t>
      </w:r>
      <w:proofErr w:type="spellEnd"/>
      <w:r w:rsidRPr="00377CF0">
        <w:rPr>
          <w:rtl/>
        </w:rPr>
        <w:t xml:space="preserve"> סי' ש"צ העדים שנמסר הגט בפניהם </w:t>
      </w:r>
      <w:proofErr w:type="spellStart"/>
      <w:r w:rsidRPr="00377CF0">
        <w:rPr>
          <w:rtl/>
        </w:rPr>
        <w:t>יכולי</w:t>
      </w:r>
      <w:proofErr w:type="spellEnd"/>
      <w:r w:rsidRPr="00377CF0">
        <w:rPr>
          <w:rtl/>
        </w:rPr>
        <w:t xml:space="preserve">' להיות דייני' ולא </w:t>
      </w:r>
      <w:proofErr w:type="spellStart"/>
      <w:r w:rsidRPr="00377CF0">
        <w:rPr>
          <w:rtl/>
        </w:rPr>
        <w:t>אמרינן</w:t>
      </w:r>
      <w:proofErr w:type="spellEnd"/>
      <w:r w:rsidRPr="00377CF0">
        <w:rPr>
          <w:rtl/>
        </w:rPr>
        <w:t xml:space="preserve"> </w:t>
      </w:r>
      <w:proofErr w:type="spellStart"/>
      <w:r w:rsidRPr="00377CF0">
        <w:rPr>
          <w:rtl/>
        </w:rPr>
        <w:t>בכה"ג</w:t>
      </w:r>
      <w:proofErr w:type="spellEnd"/>
      <w:r w:rsidRPr="00377CF0">
        <w:rPr>
          <w:rtl/>
        </w:rPr>
        <w:t xml:space="preserve"> אין עד נעשה דיין:</w:t>
      </w:r>
    </w:p>
    <w:p w14:paraId="17EE6B2F" w14:textId="441A6CAC" w:rsidR="00142DEA" w:rsidRDefault="00142DEA" w:rsidP="00142DEA">
      <w:pPr>
        <w:pStyle w:val="Heading3"/>
        <w:rPr>
          <w:rtl/>
        </w:rPr>
      </w:pPr>
      <w:r>
        <w:rPr>
          <w:rFonts w:hint="cs"/>
          <w:rtl/>
        </w:rPr>
        <w:lastRenderedPageBreak/>
        <w:t>הכחשה בבדיקות</w:t>
      </w:r>
    </w:p>
    <w:p w14:paraId="5407173C" w14:textId="0C44D6E4" w:rsidR="0047438E" w:rsidRDefault="0047438E" w:rsidP="0047438E">
      <w:pPr>
        <w:pStyle w:val="Heading2"/>
        <w:rPr>
          <w:rtl/>
        </w:rPr>
      </w:pPr>
      <w:r>
        <w:rPr>
          <w:rFonts w:hint="cs"/>
          <w:rtl/>
        </w:rPr>
        <w:t>רש"י ל:</w:t>
      </w:r>
    </w:p>
    <w:p w14:paraId="03E0FE50" w14:textId="39D5F61D" w:rsidR="00561BF3" w:rsidRDefault="00561BF3" w:rsidP="00561BF3">
      <w:pPr>
        <w:pStyle w:val="Heading2"/>
        <w:rPr>
          <w:rtl/>
        </w:rPr>
      </w:pPr>
      <w:r>
        <w:rPr>
          <w:rFonts w:hint="cs"/>
          <w:rtl/>
        </w:rPr>
        <w:t xml:space="preserve">תוספות ט: ד"ה פלוגתא </w:t>
      </w:r>
      <w:proofErr w:type="spellStart"/>
      <w:r>
        <w:rPr>
          <w:rFonts w:hint="cs"/>
          <w:rtl/>
        </w:rPr>
        <w:t>דבן</w:t>
      </w:r>
      <w:proofErr w:type="spellEnd"/>
      <w:r>
        <w:rPr>
          <w:rFonts w:hint="cs"/>
          <w:rtl/>
        </w:rPr>
        <w:t xml:space="preserve"> זכאי</w:t>
      </w:r>
    </w:p>
    <w:p w14:paraId="0AFBCB8D" w14:textId="7B8646F6" w:rsidR="00FC1751" w:rsidRDefault="00FC1751" w:rsidP="00FC1751">
      <w:pPr>
        <w:pStyle w:val="Heading2"/>
        <w:rPr>
          <w:rtl/>
        </w:rPr>
      </w:pPr>
      <w:r>
        <w:rPr>
          <w:rFonts w:hint="cs"/>
          <w:rtl/>
        </w:rPr>
        <w:t>תוספות ח: ד"ה הביא האב</w:t>
      </w:r>
    </w:p>
    <w:p w14:paraId="7A6072CC" w14:textId="303EDB35" w:rsidR="004623EB" w:rsidRPr="004623EB" w:rsidRDefault="004623EB" w:rsidP="004623EB">
      <w:pPr>
        <w:pStyle w:val="Heading2"/>
        <w:bidi w:val="0"/>
        <w:jc w:val="right"/>
        <w:rPr>
          <w:rtl/>
        </w:rPr>
      </w:pPr>
      <w:r w:rsidRPr="004623EB">
        <w:rPr>
          <w:rtl/>
        </w:rPr>
        <w:t xml:space="preserve">ספר הישר </w:t>
      </w:r>
      <w:proofErr w:type="spellStart"/>
      <w:r w:rsidRPr="004623EB">
        <w:rPr>
          <w:rtl/>
        </w:rPr>
        <w:t>לר"ת</w:t>
      </w:r>
      <w:proofErr w:type="spellEnd"/>
      <w:r w:rsidRPr="004623EB">
        <w:rPr>
          <w:rtl/>
        </w:rPr>
        <w:t xml:space="preserve"> (חלק החידושים) סימן </w:t>
      </w:r>
      <w:proofErr w:type="spellStart"/>
      <w:r w:rsidRPr="004623EB">
        <w:rPr>
          <w:rtl/>
        </w:rPr>
        <w:t>תרנח</w:t>
      </w:r>
      <w:proofErr w:type="spellEnd"/>
    </w:p>
    <w:p w14:paraId="5C935991" w14:textId="7F386F5D" w:rsidR="002C4673" w:rsidRDefault="002C4673" w:rsidP="002C4673">
      <w:pPr>
        <w:pStyle w:val="Heading3"/>
        <w:rPr>
          <w:rtl/>
        </w:rPr>
      </w:pPr>
      <w:r>
        <w:rPr>
          <w:rFonts w:hint="cs"/>
          <w:rtl/>
        </w:rPr>
        <w:t xml:space="preserve">זמן ומקום </w:t>
      </w:r>
      <w:proofErr w:type="spellStart"/>
      <w:r>
        <w:rPr>
          <w:rFonts w:hint="cs"/>
          <w:rtl/>
        </w:rPr>
        <w:t>בגיטין</w:t>
      </w:r>
      <w:proofErr w:type="spellEnd"/>
    </w:p>
    <w:p w14:paraId="70B5883D" w14:textId="72CA7C94" w:rsidR="002C4673" w:rsidRDefault="002C4673" w:rsidP="002C4673">
      <w:pPr>
        <w:pStyle w:val="Heading2"/>
        <w:rPr>
          <w:rtl/>
        </w:rPr>
      </w:pPr>
      <w:r>
        <w:rPr>
          <w:rFonts w:hint="cs"/>
          <w:rtl/>
        </w:rPr>
        <w:t>ע' לעיל בקונטרס השטרות</w:t>
      </w:r>
    </w:p>
    <w:p w14:paraId="48BF6D22" w14:textId="27864E92" w:rsidR="002C4673" w:rsidRDefault="002C4673" w:rsidP="002C4673">
      <w:pPr>
        <w:pStyle w:val="Heading2"/>
        <w:rPr>
          <w:rtl/>
        </w:rPr>
      </w:pPr>
      <w:r>
        <w:rPr>
          <w:rFonts w:hint="cs"/>
          <w:rtl/>
        </w:rPr>
        <w:t xml:space="preserve">גיטין </w:t>
      </w:r>
      <w:proofErr w:type="spellStart"/>
      <w:r>
        <w:rPr>
          <w:rFonts w:hint="cs"/>
          <w:rtl/>
        </w:rPr>
        <w:t>יז</w:t>
      </w:r>
      <w:proofErr w:type="spellEnd"/>
      <w:r w:rsidR="0017496D">
        <w:rPr>
          <w:rFonts w:hint="cs"/>
          <w:rtl/>
        </w:rPr>
        <w:t>.</w:t>
      </w:r>
    </w:p>
    <w:p w14:paraId="2ADE26E1" w14:textId="7267EFDE" w:rsidR="0017496D" w:rsidRPr="0017496D" w:rsidRDefault="0017496D" w:rsidP="0017496D">
      <w:pPr>
        <w:rPr>
          <w:rtl/>
        </w:rPr>
      </w:pPr>
      <w:r w:rsidRPr="0017496D">
        <w:rPr>
          <w:rtl/>
        </w:rPr>
        <w:t xml:space="preserve">איתמר: מפני מה תיקנו זמן </w:t>
      </w:r>
      <w:proofErr w:type="spellStart"/>
      <w:r w:rsidRPr="0017496D">
        <w:rPr>
          <w:rtl/>
        </w:rPr>
        <w:t>בגיטין</w:t>
      </w:r>
      <w:proofErr w:type="spellEnd"/>
      <w:r w:rsidRPr="0017496D">
        <w:rPr>
          <w:rtl/>
        </w:rPr>
        <w:t>? רבי יוחנן אמר: משום בת אחותו, ריש לקיש אמר: משום פירות.</w:t>
      </w:r>
    </w:p>
    <w:p w14:paraId="4A58E616" w14:textId="551F314C" w:rsidR="002C4673" w:rsidRDefault="002C4673" w:rsidP="002C4673">
      <w:pPr>
        <w:pStyle w:val="Heading2"/>
        <w:rPr>
          <w:rtl/>
        </w:rPr>
      </w:pPr>
      <w:r>
        <w:rPr>
          <w:rFonts w:hint="cs"/>
          <w:rtl/>
        </w:rPr>
        <w:t xml:space="preserve">חידושי </w:t>
      </w:r>
      <w:proofErr w:type="spellStart"/>
      <w:r>
        <w:rPr>
          <w:rFonts w:hint="cs"/>
          <w:rtl/>
        </w:rPr>
        <w:t>הגר"ח</w:t>
      </w:r>
      <w:proofErr w:type="spellEnd"/>
      <w:r>
        <w:rPr>
          <w:rFonts w:hint="cs"/>
          <w:rtl/>
        </w:rPr>
        <w:t xml:space="preserve"> על הרמב"ם הלכות עדות ג:ד</w:t>
      </w:r>
    </w:p>
    <w:p w14:paraId="54F14F8C" w14:textId="622DB206" w:rsidR="00606C7A" w:rsidRDefault="00606C7A" w:rsidP="0017496D">
      <w:pPr>
        <w:pStyle w:val="Heading2"/>
        <w:rPr>
          <w:rtl/>
        </w:rPr>
      </w:pPr>
      <w:r>
        <w:rPr>
          <w:rFonts w:hint="cs"/>
          <w:rtl/>
        </w:rPr>
        <w:t xml:space="preserve">תוספות גיטין </w:t>
      </w:r>
      <w:proofErr w:type="spellStart"/>
      <w:r w:rsidR="0017496D">
        <w:rPr>
          <w:rFonts w:hint="cs"/>
          <w:rtl/>
        </w:rPr>
        <w:t>יז</w:t>
      </w:r>
      <w:proofErr w:type="spellEnd"/>
      <w:r w:rsidR="0017496D">
        <w:rPr>
          <w:rFonts w:hint="cs"/>
          <w:rtl/>
        </w:rPr>
        <w:t>:</w:t>
      </w:r>
      <w:r w:rsidR="00230556">
        <w:rPr>
          <w:rFonts w:hint="cs"/>
          <w:rtl/>
        </w:rPr>
        <w:t xml:space="preserve"> ד"ה זנות לא שכיח</w:t>
      </w:r>
    </w:p>
    <w:p w14:paraId="03C33D2F" w14:textId="4DEC814B" w:rsidR="00606C7A" w:rsidRDefault="00606C7A" w:rsidP="00606C7A">
      <w:pPr>
        <w:rPr>
          <w:rtl/>
        </w:rPr>
      </w:pPr>
      <w:r w:rsidRPr="00606C7A">
        <w:rPr>
          <w:rtl/>
        </w:rPr>
        <w:t xml:space="preserve">פירוש זנות בעדים ובהתראה לא שכיח אבל לא בעי </w:t>
      </w:r>
      <w:proofErr w:type="spellStart"/>
      <w:r w:rsidRPr="00606C7A">
        <w:rPr>
          <w:rtl/>
        </w:rPr>
        <w:t>למימר</w:t>
      </w:r>
      <w:proofErr w:type="spellEnd"/>
      <w:r w:rsidRPr="00606C7A">
        <w:rPr>
          <w:rtl/>
        </w:rPr>
        <w:t xml:space="preserve"> </w:t>
      </w:r>
      <w:proofErr w:type="spellStart"/>
      <w:r w:rsidRPr="00606C7A">
        <w:rPr>
          <w:rtl/>
        </w:rPr>
        <w:t>דשום</w:t>
      </w:r>
      <w:proofErr w:type="spellEnd"/>
      <w:r w:rsidRPr="00606C7A">
        <w:rPr>
          <w:rtl/>
        </w:rPr>
        <w:t xml:space="preserve"> זנות לא שכיח</w:t>
      </w:r>
      <w:r w:rsidR="0017496D">
        <w:rPr>
          <w:rFonts w:hint="cs"/>
          <w:rtl/>
        </w:rPr>
        <w:t>...</w:t>
      </w:r>
    </w:p>
    <w:p w14:paraId="61C05B49" w14:textId="05E5DC4C" w:rsidR="00BA517B" w:rsidRDefault="00BA517B" w:rsidP="00BA517B">
      <w:pPr>
        <w:pStyle w:val="Heading2"/>
        <w:rPr>
          <w:rtl/>
        </w:rPr>
      </w:pPr>
      <w:r>
        <w:rPr>
          <w:rFonts w:hint="cs"/>
          <w:rtl/>
        </w:rPr>
        <w:t xml:space="preserve">ערוך לנר ח. </w:t>
      </w:r>
      <w:r>
        <w:rPr>
          <w:rtl/>
        </w:rPr>
        <w:t>בד"ה מוציא</w:t>
      </w:r>
    </w:p>
    <w:p w14:paraId="18F1C7C2" w14:textId="22B7F2AF" w:rsidR="00BA517B" w:rsidRPr="00606C7A" w:rsidRDefault="00BA517B" w:rsidP="00BA517B">
      <w:proofErr w:type="spellStart"/>
      <w:r w:rsidRPr="00BA517B">
        <w:rPr>
          <w:rtl/>
        </w:rPr>
        <w:t>דמוכחי</w:t>
      </w:r>
      <w:proofErr w:type="spellEnd"/>
      <w:r w:rsidRPr="00BA517B">
        <w:rPr>
          <w:rtl/>
        </w:rPr>
        <w:t xml:space="preserve"> </w:t>
      </w:r>
      <w:proofErr w:type="spellStart"/>
      <w:r w:rsidRPr="00BA517B">
        <w:rPr>
          <w:rtl/>
        </w:rPr>
        <w:t>מלתא</w:t>
      </w:r>
      <w:proofErr w:type="spellEnd"/>
      <w:r w:rsidRPr="00BA517B">
        <w:rPr>
          <w:rtl/>
        </w:rPr>
        <w:t xml:space="preserve"> </w:t>
      </w:r>
      <w:proofErr w:type="spellStart"/>
      <w:r w:rsidRPr="00BA517B">
        <w:rPr>
          <w:rtl/>
        </w:rPr>
        <w:t>דאסהדי</w:t>
      </w:r>
      <w:proofErr w:type="spellEnd"/>
      <w:r w:rsidRPr="00BA517B">
        <w:rPr>
          <w:rtl/>
        </w:rPr>
        <w:t xml:space="preserve"> שיקרא מהדר הבעל. כן כתבו </w:t>
      </w:r>
      <w:proofErr w:type="spellStart"/>
      <w:r w:rsidRPr="00BA517B">
        <w:rPr>
          <w:rtl/>
        </w:rPr>
        <w:t>התוס</w:t>
      </w:r>
      <w:proofErr w:type="spellEnd"/>
      <w:r w:rsidRPr="00BA517B">
        <w:rPr>
          <w:rtl/>
        </w:rPr>
        <w:t xml:space="preserve">' גם לקמן ד"ה והביא. </w:t>
      </w:r>
      <w:proofErr w:type="spellStart"/>
      <w:r w:rsidRPr="00BA517B">
        <w:rPr>
          <w:rtl/>
        </w:rPr>
        <w:t>דאם</w:t>
      </w:r>
      <w:proofErr w:type="spellEnd"/>
      <w:r w:rsidRPr="00BA517B">
        <w:rPr>
          <w:rtl/>
        </w:rPr>
        <w:t xml:space="preserve"> הביא הבעל עדים והוזמו לא </w:t>
      </w:r>
      <w:proofErr w:type="spellStart"/>
      <w:r w:rsidRPr="00BA517B">
        <w:rPr>
          <w:rtl/>
        </w:rPr>
        <w:t>מקבלינן</w:t>
      </w:r>
      <w:proofErr w:type="spellEnd"/>
      <w:r w:rsidRPr="00BA517B">
        <w:rPr>
          <w:rtl/>
        </w:rPr>
        <w:t xml:space="preserve"> עוד עדים כיון שראינו שמהדר </w:t>
      </w:r>
      <w:proofErr w:type="spellStart"/>
      <w:r w:rsidRPr="00BA517B">
        <w:rPr>
          <w:rtl/>
        </w:rPr>
        <w:t>אסהדי</w:t>
      </w:r>
      <w:proofErr w:type="spellEnd"/>
      <w:r w:rsidRPr="00BA517B">
        <w:rPr>
          <w:rtl/>
        </w:rPr>
        <w:t xml:space="preserve"> שיקרא וכן כתב גם רש"י לקמן ד"ה ובמקום ע"ש. ולענ"ד צ"ע ממה </w:t>
      </w:r>
      <w:proofErr w:type="spellStart"/>
      <w:r w:rsidRPr="00BA517B">
        <w:rPr>
          <w:rtl/>
        </w:rPr>
        <w:t>דאמרינן</w:t>
      </w:r>
      <w:proofErr w:type="spellEnd"/>
      <w:r w:rsidRPr="00BA517B">
        <w:rPr>
          <w:rtl/>
        </w:rPr>
        <w:t xml:space="preserve"> במכות (ה ב) ההיא </w:t>
      </w:r>
      <w:proofErr w:type="spellStart"/>
      <w:r w:rsidRPr="00BA517B">
        <w:rPr>
          <w:rtl/>
        </w:rPr>
        <w:t>אתתא</w:t>
      </w:r>
      <w:proofErr w:type="spellEnd"/>
      <w:r w:rsidRPr="00BA517B">
        <w:rPr>
          <w:rtl/>
        </w:rPr>
        <w:t xml:space="preserve"> וכו' כל ישראל מי הוחזקו ע"ש הרי </w:t>
      </w:r>
      <w:proofErr w:type="spellStart"/>
      <w:r w:rsidRPr="00BA517B">
        <w:rPr>
          <w:rtl/>
        </w:rPr>
        <w:t>דלר</w:t>
      </w:r>
      <w:proofErr w:type="spellEnd"/>
      <w:r w:rsidRPr="00BA517B">
        <w:rPr>
          <w:rtl/>
        </w:rPr>
        <w:t xml:space="preserve">' יוחנן </w:t>
      </w:r>
      <w:proofErr w:type="spellStart"/>
      <w:r w:rsidRPr="00BA517B">
        <w:rPr>
          <w:rtl/>
        </w:rPr>
        <w:t>דהלכה</w:t>
      </w:r>
      <w:proofErr w:type="spellEnd"/>
      <w:r w:rsidRPr="00BA517B">
        <w:rPr>
          <w:rtl/>
        </w:rPr>
        <w:t xml:space="preserve"> כוותיה לגבי ר"ל </w:t>
      </w:r>
      <w:proofErr w:type="spellStart"/>
      <w:r w:rsidRPr="00BA517B">
        <w:rPr>
          <w:rtl/>
        </w:rPr>
        <w:t>ס"ל</w:t>
      </w:r>
      <w:proofErr w:type="spellEnd"/>
      <w:r w:rsidRPr="00BA517B">
        <w:rPr>
          <w:rtl/>
        </w:rPr>
        <w:t xml:space="preserve"> </w:t>
      </w:r>
      <w:proofErr w:type="spellStart"/>
      <w:r w:rsidRPr="00BA517B">
        <w:rPr>
          <w:rtl/>
        </w:rPr>
        <w:t>דמקבלין</w:t>
      </w:r>
      <w:proofErr w:type="spellEnd"/>
      <w:r w:rsidRPr="00BA517B">
        <w:rPr>
          <w:rtl/>
        </w:rPr>
        <w:t xml:space="preserve"> עדות אחר הזמה, ולא זו בלבד אלא </w:t>
      </w:r>
      <w:proofErr w:type="spellStart"/>
      <w:r w:rsidRPr="00BA517B">
        <w:rPr>
          <w:rtl/>
        </w:rPr>
        <w:t>דמשמע</w:t>
      </w:r>
      <w:proofErr w:type="spellEnd"/>
      <w:r w:rsidRPr="00BA517B">
        <w:rPr>
          <w:rtl/>
        </w:rPr>
        <w:t xml:space="preserve"> התם דגם </w:t>
      </w:r>
      <w:proofErr w:type="spellStart"/>
      <w:r w:rsidRPr="00BA517B">
        <w:rPr>
          <w:rtl/>
        </w:rPr>
        <w:t>לר"ל</w:t>
      </w:r>
      <w:proofErr w:type="spellEnd"/>
      <w:r w:rsidRPr="00BA517B">
        <w:rPr>
          <w:rtl/>
        </w:rPr>
        <w:t xml:space="preserve"> רק אחר שהביאה </w:t>
      </w:r>
      <w:proofErr w:type="spellStart"/>
      <w:r w:rsidRPr="00BA517B">
        <w:rPr>
          <w:rtl/>
        </w:rPr>
        <w:t>האשה</w:t>
      </w:r>
      <w:proofErr w:type="spellEnd"/>
      <w:r w:rsidRPr="00BA517B">
        <w:rPr>
          <w:rtl/>
        </w:rPr>
        <w:t xml:space="preserve"> ב' כתות והוזמו לא רצה לקבל כת שלישי </w:t>
      </w:r>
      <w:proofErr w:type="spellStart"/>
      <w:r w:rsidRPr="00BA517B">
        <w:rPr>
          <w:rtl/>
        </w:rPr>
        <w:t>דס"ל</w:t>
      </w:r>
      <w:proofErr w:type="spellEnd"/>
      <w:r w:rsidRPr="00BA517B">
        <w:rPr>
          <w:rtl/>
        </w:rPr>
        <w:t xml:space="preserve"> </w:t>
      </w:r>
      <w:proofErr w:type="spellStart"/>
      <w:r w:rsidRPr="00BA517B">
        <w:rPr>
          <w:rtl/>
        </w:rPr>
        <w:t>דבתרי</w:t>
      </w:r>
      <w:proofErr w:type="spellEnd"/>
      <w:r w:rsidRPr="00BA517B">
        <w:rPr>
          <w:rtl/>
        </w:rPr>
        <w:t xml:space="preserve"> </w:t>
      </w:r>
      <w:proofErr w:type="spellStart"/>
      <w:r w:rsidRPr="00BA517B">
        <w:rPr>
          <w:rtl/>
        </w:rPr>
        <w:t>זימני</w:t>
      </w:r>
      <w:proofErr w:type="spellEnd"/>
      <w:r w:rsidRPr="00BA517B">
        <w:rPr>
          <w:rtl/>
        </w:rPr>
        <w:t xml:space="preserve"> הוי חזקה אבל אחר שהוזמו כת אחת גם לריש לקיש </w:t>
      </w:r>
      <w:proofErr w:type="spellStart"/>
      <w:r w:rsidRPr="00BA517B">
        <w:rPr>
          <w:rtl/>
        </w:rPr>
        <w:t>מקבלין</w:t>
      </w:r>
      <w:proofErr w:type="spellEnd"/>
      <w:r w:rsidRPr="00BA517B">
        <w:rPr>
          <w:rtl/>
        </w:rPr>
        <w:t xml:space="preserve"> שניה שהרי שם קיבל ר"ל כת שניה וא"כ למה לא שייך כאן לעז אחר הזמה:</w:t>
      </w:r>
    </w:p>
    <w:sectPr w:rsidR="00BA517B" w:rsidRPr="00606C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9E0B0" w14:textId="77777777" w:rsidR="000C096D" w:rsidRDefault="000C096D" w:rsidP="00AE281B">
      <w:r>
        <w:separator/>
      </w:r>
    </w:p>
  </w:endnote>
  <w:endnote w:type="continuationSeparator" w:id="0">
    <w:p w14:paraId="74C119C2" w14:textId="77777777" w:rsidR="000C096D" w:rsidRDefault="000C096D" w:rsidP="00AE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ECD0E" w14:textId="77777777" w:rsidR="000005CB" w:rsidRDefault="000005CB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8F250" w14:textId="77777777" w:rsidR="000C096D" w:rsidRDefault="000C096D" w:rsidP="00AE281B">
      <w:r>
        <w:separator/>
      </w:r>
    </w:p>
  </w:footnote>
  <w:footnote w:type="continuationSeparator" w:id="0">
    <w:p w14:paraId="786B2B81" w14:textId="77777777" w:rsidR="000C096D" w:rsidRDefault="000C096D" w:rsidP="00AE281B">
      <w:r>
        <w:continuationSeparator/>
      </w:r>
    </w:p>
  </w:footnote>
  <w:footnote w:id="1">
    <w:p w14:paraId="1E45BA3E" w14:textId="1E6767AB" w:rsidR="00ED4BC4" w:rsidRDefault="00ED4BC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ע"ש ב</w:t>
      </w:r>
      <w:r w:rsidR="00C85DD8">
        <w:rPr>
          <w:rFonts w:hint="cs"/>
          <w:rtl/>
        </w:rPr>
        <w:t>פ"ת וב</w:t>
      </w:r>
      <w:r>
        <w:rPr>
          <w:rFonts w:hint="cs"/>
          <w:rtl/>
        </w:rPr>
        <w:t>ב"ש ובב"י סימן קלו</w:t>
      </w:r>
    </w:p>
  </w:footnote>
  <w:footnote w:id="2">
    <w:p w14:paraId="7DAE2BFC" w14:textId="111C9187" w:rsidR="00FE408A" w:rsidRDefault="00FE408A" w:rsidP="00FE408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ע"ש סעיף ד' </w:t>
      </w:r>
      <w:proofErr w:type="spellStart"/>
      <w:r>
        <w:rPr>
          <w:rFonts w:hint="cs"/>
          <w:rtl/>
        </w:rPr>
        <w:t>בהג"ה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 xml:space="preserve">כי סדור הגט </w:t>
      </w:r>
      <w:r w:rsidRPr="00FE408A">
        <w:rPr>
          <w:rtl/>
        </w:rPr>
        <w:t>אינו דין, אלא למוד בעלמא.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2CCE2" w14:textId="77777777" w:rsidR="000005CB" w:rsidRDefault="00BA2963" w:rsidP="00734E61">
    <w:pPr>
      <w:pStyle w:val="Header"/>
      <w:bidi w:val="0"/>
    </w:pPr>
    <w:r>
      <w:rPr>
        <w:rFonts w:hint="cs"/>
        <w:rtl/>
      </w:rPr>
      <w:t xml:space="preserve">שיעור </w:t>
    </w:r>
    <w:r w:rsidR="00734E61">
      <w:rPr>
        <w:rFonts w:hint="cs"/>
        <w:rtl/>
      </w:rPr>
      <w:t>ל"ג</w:t>
    </w:r>
    <w:r>
      <w:rPr>
        <w:rFonts w:hint="cs"/>
        <w:rtl/>
      </w:rPr>
      <w:t xml:space="preserve"> -</w:t>
    </w:r>
    <w:r w:rsidR="00527574">
      <w:rPr>
        <w:rFonts w:hint="cs"/>
        <w:rtl/>
      </w:rPr>
      <w:t xml:space="preserve"> מס' </w:t>
    </w:r>
    <w:r w:rsidR="00114827">
      <w:rPr>
        <w:rFonts w:hint="cs"/>
        <w:rtl/>
      </w:rPr>
      <w:t>סנהדרין</w:t>
    </w:r>
    <w:r w:rsidR="00734E61">
      <w:rPr>
        <w:rFonts w:hint="cs"/>
        <w:rtl/>
      </w:rPr>
      <w:t xml:space="preserve"> ח: - ט.</w:t>
    </w:r>
    <w:r w:rsidR="000005CB">
      <w:rPr>
        <w:rtl/>
      </w:rPr>
      <w:tab/>
    </w:r>
    <w:r w:rsidR="00734E61">
      <w:rPr>
        <w:rtl/>
      </w:rPr>
      <w:fldChar w:fldCharType="begin"/>
    </w:r>
    <w:r w:rsidR="00734E61">
      <w:rPr>
        <w:rtl/>
      </w:rPr>
      <w:instrText xml:space="preserve"> </w:instrText>
    </w:r>
    <w:r w:rsidR="00734E61">
      <w:rPr>
        <w:rFonts w:hint="cs"/>
      </w:rPr>
      <w:instrText>DATE</w:instrText>
    </w:r>
    <w:r w:rsidR="00734E61">
      <w:rPr>
        <w:rFonts w:hint="cs"/>
        <w:rtl/>
      </w:rPr>
      <w:instrText xml:space="preserve"> \@ "</w:instrText>
    </w:r>
    <w:r w:rsidR="00734E61">
      <w:rPr>
        <w:rFonts w:hint="cs"/>
      </w:rPr>
      <w:instrText>dd MMMM yyyy" \h</w:instrText>
    </w:r>
    <w:r w:rsidR="00734E61">
      <w:rPr>
        <w:rtl/>
      </w:rPr>
      <w:instrText xml:space="preserve"> </w:instrText>
    </w:r>
    <w:r w:rsidR="00734E61">
      <w:rPr>
        <w:rtl/>
      </w:rPr>
      <w:fldChar w:fldCharType="separate"/>
    </w:r>
    <w:r w:rsidR="00A84472">
      <w:rPr>
        <w:noProof/>
        <w:rtl/>
      </w:rPr>
      <w:t>‏כ"ח חשון תשע"ו</w:t>
    </w:r>
    <w:r w:rsidR="00734E61">
      <w:rPr>
        <w:rtl/>
      </w:rPr>
      <w:fldChar w:fldCharType="end"/>
    </w:r>
    <w:r w:rsidR="000005CB">
      <w:rPr>
        <w:rtl/>
      </w:rPr>
      <w:tab/>
    </w:r>
    <w:r w:rsidR="000005CB">
      <w:rPr>
        <w:rFonts w:hint="cs"/>
        <w:rtl/>
      </w:rPr>
      <w:t>הרב צבי שכטר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71DED"/>
    <w:multiLevelType w:val="multilevel"/>
    <w:tmpl w:val="8FCC0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61"/>
    <w:rsid w:val="000005CB"/>
    <w:rsid w:val="00070CBF"/>
    <w:rsid w:val="000A5762"/>
    <w:rsid w:val="000C096D"/>
    <w:rsid w:val="00114827"/>
    <w:rsid w:val="00125C0B"/>
    <w:rsid w:val="00142DEA"/>
    <w:rsid w:val="0017496D"/>
    <w:rsid w:val="001A57DB"/>
    <w:rsid w:val="001B4949"/>
    <w:rsid w:val="001C6AC8"/>
    <w:rsid w:val="00230556"/>
    <w:rsid w:val="0028003D"/>
    <w:rsid w:val="002B5A91"/>
    <w:rsid w:val="002C0CEB"/>
    <w:rsid w:val="002C4673"/>
    <w:rsid w:val="003570FC"/>
    <w:rsid w:val="003701AF"/>
    <w:rsid w:val="00377CF0"/>
    <w:rsid w:val="004063F1"/>
    <w:rsid w:val="00461B5F"/>
    <w:rsid w:val="004623EB"/>
    <w:rsid w:val="0047438E"/>
    <w:rsid w:val="00527574"/>
    <w:rsid w:val="00561BF3"/>
    <w:rsid w:val="00563865"/>
    <w:rsid w:val="005F54E7"/>
    <w:rsid w:val="00606C7A"/>
    <w:rsid w:val="006265CA"/>
    <w:rsid w:val="00634DFF"/>
    <w:rsid w:val="00655127"/>
    <w:rsid w:val="00734E61"/>
    <w:rsid w:val="00734EA1"/>
    <w:rsid w:val="0079169A"/>
    <w:rsid w:val="007A4624"/>
    <w:rsid w:val="008F2FC0"/>
    <w:rsid w:val="00956A5D"/>
    <w:rsid w:val="009825CD"/>
    <w:rsid w:val="00994F6A"/>
    <w:rsid w:val="00995396"/>
    <w:rsid w:val="009E247D"/>
    <w:rsid w:val="00A84472"/>
    <w:rsid w:val="00AA15F1"/>
    <w:rsid w:val="00AD4935"/>
    <w:rsid w:val="00AD7DB9"/>
    <w:rsid w:val="00AE281B"/>
    <w:rsid w:val="00AE6DDB"/>
    <w:rsid w:val="00AF5616"/>
    <w:rsid w:val="00AF6D7E"/>
    <w:rsid w:val="00B27BAF"/>
    <w:rsid w:val="00B54C1E"/>
    <w:rsid w:val="00B93666"/>
    <w:rsid w:val="00B97B87"/>
    <w:rsid w:val="00BA2963"/>
    <w:rsid w:val="00BA517B"/>
    <w:rsid w:val="00BB4699"/>
    <w:rsid w:val="00BC235D"/>
    <w:rsid w:val="00BC2476"/>
    <w:rsid w:val="00C227FC"/>
    <w:rsid w:val="00C402D8"/>
    <w:rsid w:val="00C83462"/>
    <w:rsid w:val="00C85DD8"/>
    <w:rsid w:val="00CB7ECA"/>
    <w:rsid w:val="00D40A69"/>
    <w:rsid w:val="00D76827"/>
    <w:rsid w:val="00DE0079"/>
    <w:rsid w:val="00E12755"/>
    <w:rsid w:val="00EC7C87"/>
    <w:rsid w:val="00ED4BC4"/>
    <w:rsid w:val="00F34756"/>
    <w:rsid w:val="00F90BB4"/>
    <w:rsid w:val="00FA1233"/>
    <w:rsid w:val="00FC1751"/>
    <w:rsid w:val="00FC1D16"/>
    <w:rsid w:val="00FC2B04"/>
    <w:rsid w:val="00FD4DE2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656CA"/>
  <w15:chartTrackingRefBased/>
  <w15:docId w15:val="{0340BBC2-A4EF-4C51-8ED9-BE5F0DA4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1B"/>
    <w:pPr>
      <w:bidi/>
    </w:pPr>
    <w:rPr>
      <w:rFonts w:ascii="Narkisim" w:hAnsi="Narkisim" w:cs="Narkisim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81B"/>
    <w:pPr>
      <w:outlineLvl w:val="0"/>
    </w:pPr>
    <w:rPr>
      <w:color w:val="000080"/>
      <w:sz w:val="28"/>
      <w:szCs w:val="28"/>
      <w:shd w:val="clear" w:color="auto" w:fill="FFFFFF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A2963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2963"/>
    <w:pPr>
      <w:outlineLvl w:val="2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87"/>
  </w:style>
  <w:style w:type="paragraph" w:styleId="Footer">
    <w:name w:val="footer"/>
    <w:basedOn w:val="Normal"/>
    <w:link w:val="Foot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87"/>
  </w:style>
  <w:style w:type="character" w:customStyle="1" w:styleId="Heading1Char">
    <w:name w:val="Heading 1 Char"/>
    <w:basedOn w:val="DefaultParagraphFont"/>
    <w:link w:val="Heading1"/>
    <w:uiPriority w:val="9"/>
    <w:rsid w:val="00AE281B"/>
    <w:rPr>
      <w:rFonts w:ascii="Narkisim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8F2FC0"/>
    <w:pPr>
      <w:jc w:val="center"/>
    </w:pPr>
    <w:rPr>
      <w:b/>
      <w:bCs/>
      <w:color w:val="auto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F2FC0"/>
    <w:rPr>
      <w:rFonts w:ascii="Narkisim" w:hAnsi="Narkisim" w:cs="Narkisim"/>
      <w:b/>
      <w:bCs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7B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2963"/>
    <w:rPr>
      <w:rFonts w:ascii="Narkisim" w:hAnsi="Narkisim" w:cs="Narkisim"/>
      <w:color w:val="000080"/>
      <w:sz w:val="24"/>
      <w:szCs w:val="24"/>
    </w:rPr>
  </w:style>
  <w:style w:type="paragraph" w:styleId="Subtitle">
    <w:name w:val="Subtitle"/>
    <w:basedOn w:val="Title"/>
    <w:next w:val="Normal"/>
    <w:link w:val="SubtitleChar"/>
    <w:uiPriority w:val="11"/>
    <w:qFormat/>
    <w:rsid w:val="008F2FC0"/>
    <w:rPr>
      <w:b w:val="0"/>
      <w:bCs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F2FC0"/>
    <w:rPr>
      <w:rFonts w:ascii="Narkisim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A2963"/>
    <w:rPr>
      <w:rFonts w:ascii="Narkisim" w:hAnsi="Narkisim" w:cs="Narkisim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B27B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5762"/>
  </w:style>
  <w:style w:type="paragraph" w:styleId="FootnoteText">
    <w:name w:val="footnote text"/>
    <w:basedOn w:val="Normal"/>
    <w:link w:val="FootnoteTextChar"/>
    <w:uiPriority w:val="99"/>
    <w:semiHidden/>
    <w:unhideWhenUsed/>
    <w:rsid w:val="00ED4B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BC4"/>
    <w:rPr>
      <w:rFonts w:ascii="Narkisim" w:hAnsi="Narkisim" w:cs="Narkisim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4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52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9375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85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52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6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76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886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95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38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47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84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07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299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890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05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25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61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5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687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58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34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959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55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78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6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27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084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77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07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099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62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5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45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30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40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900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4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088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176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961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69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72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815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137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77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89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5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0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52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83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60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46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02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5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41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55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257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SkyDrive\&#1513;&#1497;&#1506;&#1493;&#1512;&#1497;%20&#1492;&#1512;&#1489;%20&#1513;&#1499;&#1496;&#1512;\Source%20She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Source Sheets Template.dotx</Template>
  <TotalTime>155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8</cp:revision>
  <dcterms:created xsi:type="dcterms:W3CDTF">2015-11-09T17:44:00Z</dcterms:created>
  <dcterms:modified xsi:type="dcterms:W3CDTF">2015-11-10T14:48:00Z</dcterms:modified>
</cp:coreProperties>
</file>