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41831" w14:textId="77777777" w:rsidR="000005CB" w:rsidRPr="00AF6D7E" w:rsidRDefault="00BA2963" w:rsidP="00114827">
      <w:pPr>
        <w:pStyle w:val="Title"/>
        <w:rPr>
          <w:rtl/>
        </w:rPr>
      </w:pPr>
      <w:r>
        <w:rPr>
          <w:rFonts w:hint="cs"/>
          <w:rtl/>
        </w:rPr>
        <w:t>עזר לצבי</w:t>
      </w:r>
      <w:r w:rsidR="00527574">
        <w:rPr>
          <w:rFonts w:hint="cs"/>
          <w:rtl/>
        </w:rPr>
        <w:t xml:space="preserve"> </w:t>
      </w:r>
    </w:p>
    <w:p w14:paraId="61A0CF30" w14:textId="3A0C3548" w:rsidR="00EC7C87" w:rsidRDefault="00C83F22" w:rsidP="008F2FC0">
      <w:pPr>
        <w:pStyle w:val="Subtitle"/>
      </w:pPr>
      <w:r>
        <w:rPr>
          <w:rFonts w:hint="cs"/>
          <w:rtl/>
        </w:rPr>
        <w:t>חזרה ה</w:t>
      </w:r>
      <w:r w:rsidR="00F27766">
        <w:rPr>
          <w:rFonts w:hint="cs"/>
          <w:rtl/>
        </w:rPr>
        <w:t>'</w:t>
      </w:r>
    </w:p>
    <w:p w14:paraId="6A0189DD" w14:textId="77777777" w:rsidR="00F1084F" w:rsidRDefault="00F1084F" w:rsidP="00F1084F">
      <w:pPr>
        <w:jc w:val="center"/>
        <w:rPr>
          <w:rtl/>
        </w:rPr>
      </w:pPr>
      <w:r>
        <w:rPr>
          <w:rFonts w:hint="cs"/>
          <w:rtl/>
        </w:rPr>
        <w:t>כדי שלא לבלבל את הקורא ממבול המקורות וריבוי העניינים</w:t>
      </w:r>
    </w:p>
    <w:p w14:paraId="5812D074" w14:textId="77777777" w:rsidR="00F1084F" w:rsidRDefault="00F1084F" w:rsidP="00F1084F">
      <w:pPr>
        <w:jc w:val="center"/>
        <w:rPr>
          <w:rtl/>
        </w:rPr>
      </w:pPr>
      <w:r>
        <w:rPr>
          <w:rFonts w:hint="cs"/>
          <w:rtl/>
        </w:rPr>
        <w:t>לא הבאנו אלא ממה שהוסיף רבנו בשיעור הזה ושלא</w:t>
      </w:r>
    </w:p>
    <w:p w14:paraId="44CE4215" w14:textId="4AEDEC19" w:rsidR="00F1084F" w:rsidRPr="00F1084F" w:rsidRDefault="00F1084F" w:rsidP="00F1084F">
      <w:pPr>
        <w:jc w:val="center"/>
        <w:rPr>
          <w:rtl/>
        </w:rPr>
      </w:pPr>
      <w:r>
        <w:rPr>
          <w:rFonts w:hint="cs"/>
          <w:rtl/>
        </w:rPr>
        <w:t>הוזכר</w:t>
      </w:r>
      <w:r w:rsidR="002A4354">
        <w:rPr>
          <w:rFonts w:hint="cs"/>
          <w:rtl/>
        </w:rPr>
        <w:t xml:space="preserve"> או הובא</w:t>
      </w:r>
      <w:bookmarkStart w:id="0" w:name="_GoBack"/>
      <w:bookmarkEnd w:id="0"/>
      <w:r>
        <w:rPr>
          <w:rFonts w:hint="cs"/>
          <w:rtl/>
        </w:rPr>
        <w:t xml:space="preserve"> כבר בשיעורים הקודמים</w:t>
      </w:r>
    </w:p>
    <w:p w14:paraId="713957E6" w14:textId="1A9235C3" w:rsidR="00BA2963" w:rsidRDefault="00CF55EA" w:rsidP="00BA2963">
      <w:pPr>
        <w:pStyle w:val="Heading2"/>
        <w:rPr>
          <w:rtl/>
        </w:rPr>
      </w:pPr>
      <w:r w:rsidRPr="00365395">
        <w:drawing>
          <wp:anchor distT="0" distB="0" distL="114300" distR="114300" simplePos="0" relativeHeight="251658240" behindDoc="0" locked="0" layoutInCell="1" allowOverlap="1" wp14:anchorId="24F45F81" wp14:editId="0E5B0A82">
            <wp:simplePos x="0" y="0"/>
            <wp:positionH relativeFrom="margin">
              <wp:posOffset>84455</wp:posOffset>
            </wp:positionH>
            <wp:positionV relativeFrom="margin">
              <wp:posOffset>1537970</wp:posOffset>
            </wp:positionV>
            <wp:extent cx="1265555" cy="2271395"/>
            <wp:effectExtent l="133350" t="76200" r="86995" b="128905"/>
            <wp:wrapSquare wrapText="bothSides"/>
            <wp:docPr id="1" name="Picture 1" descr="http://halachipedia.com/images/f/fa/Hadas_With_Ber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lachipedia.com/images/f/fa/Hadas_With_Berries.gif"/>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65555" cy="22713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C83F22">
        <w:rPr>
          <w:rFonts w:hint="cs"/>
          <w:rtl/>
        </w:rPr>
        <w:t>ע' בשיעורים ח' וט'</w:t>
      </w:r>
      <w:r w:rsidR="004F68EB">
        <w:rPr>
          <w:rFonts w:hint="cs"/>
          <w:rtl/>
        </w:rPr>
        <w:t xml:space="preserve"> וי"ב</w:t>
      </w:r>
    </w:p>
    <w:p w14:paraId="1BBD3688" w14:textId="0712BCFD" w:rsidR="000573CF" w:rsidRDefault="000573CF" w:rsidP="000573CF">
      <w:pPr>
        <w:pStyle w:val="Heading3"/>
        <w:rPr>
          <w:rtl/>
        </w:rPr>
      </w:pPr>
      <w:r>
        <w:rPr>
          <w:rFonts w:hint="cs"/>
          <w:rtl/>
        </w:rPr>
        <w:t>סמיכה והוראה</w:t>
      </w:r>
    </w:p>
    <w:p w14:paraId="3FEE0F3C" w14:textId="323C74D6" w:rsidR="00BA2963" w:rsidRDefault="000573CF" w:rsidP="000573CF">
      <w:pPr>
        <w:pStyle w:val="Heading2"/>
        <w:rPr>
          <w:rtl/>
        </w:rPr>
      </w:pPr>
      <w:r>
        <w:rPr>
          <w:rFonts w:hint="cs"/>
          <w:rtl/>
        </w:rPr>
        <w:t>שלחן ערוך יורה דעה רמב:י</w:t>
      </w:r>
    </w:p>
    <w:p w14:paraId="35D65A0D" w14:textId="01993C6A" w:rsidR="000573CF" w:rsidRDefault="000573CF" w:rsidP="000573CF">
      <w:r w:rsidRPr="000573CF">
        <w:rPr>
          <w:rtl/>
        </w:rPr>
        <w:t>יש מי שכתב יז שאסור לחכם להתיר דבר התמוה שנראה לרבים שהתיר את האסור.</w:t>
      </w:r>
    </w:p>
    <w:p w14:paraId="7EF90D6F" w14:textId="6E64D430" w:rsidR="001D4703" w:rsidRDefault="001D4703" w:rsidP="001D4703">
      <w:pPr>
        <w:pStyle w:val="Heading3"/>
        <w:rPr>
          <w:rtl/>
        </w:rPr>
      </w:pPr>
      <w:r>
        <w:rPr>
          <w:rFonts w:hint="cs"/>
          <w:rtl/>
        </w:rPr>
        <w:t>מכירת חמץ</w:t>
      </w:r>
    </w:p>
    <w:p w14:paraId="5405679D" w14:textId="6779B42F" w:rsidR="001D4703" w:rsidRDefault="00A6196D" w:rsidP="00A6196D">
      <w:pPr>
        <w:pStyle w:val="Heading2"/>
        <w:rPr>
          <w:rtl/>
        </w:rPr>
      </w:pPr>
      <w:r>
        <w:rPr>
          <w:rFonts w:hint="cs"/>
          <w:rtl/>
        </w:rPr>
        <w:t>נפש ה</w:t>
      </w:r>
      <w:r w:rsidR="00965BA4">
        <w:rPr>
          <w:rFonts w:hint="cs"/>
          <w:rtl/>
        </w:rPr>
        <w:t>ר</w:t>
      </w:r>
      <w:r>
        <w:rPr>
          <w:rFonts w:hint="cs"/>
          <w:rtl/>
        </w:rPr>
        <w:t>ב עמ' קעז</w:t>
      </w:r>
    </w:p>
    <w:p w14:paraId="7A7A9AA7" w14:textId="6CBE4950" w:rsidR="00A6196D" w:rsidRDefault="00C85D41" w:rsidP="00C85D41">
      <w:pPr>
        <w:pStyle w:val="Heading2"/>
        <w:rPr>
          <w:rtl/>
        </w:rPr>
      </w:pPr>
      <w:r>
        <w:rPr>
          <w:rFonts w:hint="cs"/>
          <w:rtl/>
        </w:rPr>
        <w:t>בעקבי הצאן עמ' עג</w:t>
      </w:r>
    </w:p>
    <w:p w14:paraId="04EA1D73" w14:textId="61777A61" w:rsidR="00AA3696" w:rsidRDefault="00AA3696" w:rsidP="00AA3696">
      <w:pPr>
        <w:pStyle w:val="Heading3"/>
        <w:rPr>
          <w:rtl/>
        </w:rPr>
      </w:pPr>
      <w:r>
        <w:rPr>
          <w:rFonts w:hint="cs"/>
          <w:rtl/>
        </w:rPr>
        <w:t xml:space="preserve">טומאת כהנים </w:t>
      </w:r>
      <w:r>
        <w:rPr>
          <w:rtl/>
        </w:rPr>
        <w:t>–</w:t>
      </w:r>
      <w:r>
        <w:rPr>
          <w:rFonts w:hint="cs"/>
          <w:rtl/>
        </w:rPr>
        <w:t xml:space="preserve"> מוסיף טומאה על טומאתו</w:t>
      </w:r>
    </w:p>
    <w:p w14:paraId="1E8E2CD5" w14:textId="07FAA40B" w:rsidR="00E924C7" w:rsidRDefault="00CF55EA" w:rsidP="0014343F">
      <w:pPr>
        <w:pStyle w:val="Heading2"/>
        <w:rPr>
          <w:rtl/>
        </w:rPr>
      </w:pPr>
      <w:r>
        <w:rPr>
          <w:noProof/>
        </w:rPr>
        <mc:AlternateContent>
          <mc:Choice Requires="wps">
            <w:drawing>
              <wp:anchor distT="0" distB="0" distL="114300" distR="114300" simplePos="0" relativeHeight="251660288" behindDoc="0" locked="0" layoutInCell="1" allowOverlap="1" wp14:anchorId="74682AC7" wp14:editId="5F1D80F0">
                <wp:simplePos x="0" y="0"/>
                <wp:positionH relativeFrom="column">
                  <wp:posOffset>-262255</wp:posOffset>
                </wp:positionH>
                <wp:positionV relativeFrom="paragraph">
                  <wp:posOffset>186055</wp:posOffset>
                </wp:positionV>
                <wp:extent cx="1915795" cy="283210"/>
                <wp:effectExtent l="0" t="0" r="8255" b="2540"/>
                <wp:wrapSquare wrapText="bothSides"/>
                <wp:docPr id="2" name="Text Box 2"/>
                <wp:cNvGraphicFramePr/>
                <a:graphic xmlns:a="http://schemas.openxmlformats.org/drawingml/2006/main">
                  <a:graphicData uri="http://schemas.microsoft.com/office/word/2010/wordprocessingShape">
                    <wps:wsp>
                      <wps:cNvSpPr txBox="1"/>
                      <wps:spPr>
                        <a:xfrm>
                          <a:off x="0" y="0"/>
                          <a:ext cx="1915795" cy="283210"/>
                        </a:xfrm>
                        <a:prstGeom prst="rect">
                          <a:avLst/>
                        </a:prstGeom>
                        <a:solidFill>
                          <a:prstClr val="white"/>
                        </a:solidFill>
                        <a:ln>
                          <a:noFill/>
                        </a:ln>
                        <a:effectLst/>
                      </wps:spPr>
                      <wps:txbx>
                        <w:txbxContent>
                          <w:p w14:paraId="2E85108D" w14:textId="0D369F21" w:rsidR="00365395" w:rsidRPr="00A540A6" w:rsidRDefault="00262F3E" w:rsidP="00365395">
                            <w:pPr>
                              <w:pStyle w:val="Caption"/>
                              <w:jc w:val="center"/>
                              <w:rPr>
                                <w:i w:val="0"/>
                                <w:iCs w:val="0"/>
                                <w:sz w:val="28"/>
                                <w:szCs w:val="28"/>
                              </w:rPr>
                            </w:pPr>
                            <w:r>
                              <w:rPr>
                                <w:rFonts w:hint="cs"/>
                                <w:i w:val="0"/>
                                <w:iCs w:val="0"/>
                                <w:sz w:val="28"/>
                                <w:szCs w:val="28"/>
                                <w:rtl/>
                              </w:rPr>
                              <w:t>ענוי הדסים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82AC7" id="_x0000_t202" coordsize="21600,21600" o:spt="202" path="m,l,21600r21600,l21600,xe">
                <v:stroke joinstyle="miter"/>
                <v:path gradientshapeok="t" o:connecttype="rect"/>
              </v:shapetype>
              <v:shape id="Text Box 2" o:spid="_x0000_s1026" type="#_x0000_t202" style="position:absolute;left:0;text-align:left;margin-left:-20.65pt;margin-top:14.65pt;width:150.85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" stroked="f">
                <v:textbox inset="0,0,0,0">
                  <w:txbxContent>
                    <w:p w14:paraId="2E85108D" w14:textId="0D369F21" w:rsidR="00365395" w:rsidRPr="00A540A6" w:rsidRDefault="00262F3E" w:rsidP="00365395">
                      <w:pPr>
                        <w:pStyle w:val="Caption"/>
                        <w:jc w:val="center"/>
                        <w:rPr>
                          <w:i w:val="0"/>
                          <w:iCs w:val="0"/>
                          <w:sz w:val="28"/>
                          <w:szCs w:val="28"/>
                        </w:rPr>
                      </w:pPr>
                      <w:r>
                        <w:rPr>
                          <w:rFonts w:hint="cs"/>
                          <w:i w:val="0"/>
                          <w:iCs w:val="0"/>
                          <w:sz w:val="28"/>
                          <w:szCs w:val="28"/>
                          <w:rtl/>
                        </w:rPr>
                        <w:t>ענוי הדסים</w:t>
                      </w:r>
                    </w:p>
                  </w:txbxContent>
                </v:textbox>
                <w10:wrap type="square"/>
              </v:shape>
            </w:pict>
          </mc:Fallback>
        </mc:AlternateContent>
      </w:r>
      <w:r w:rsidR="00E924C7">
        <w:rPr>
          <w:rFonts w:hint="cs"/>
          <w:rtl/>
        </w:rPr>
        <w:t>נזיר מב:</w:t>
      </w:r>
    </w:p>
    <w:p w14:paraId="3AB8E009" w14:textId="2AA7F1F9" w:rsidR="0014343F" w:rsidRDefault="0014343F" w:rsidP="0014343F">
      <w:pPr>
        <w:pStyle w:val="Heading2"/>
        <w:rPr>
          <w:rtl/>
        </w:rPr>
      </w:pPr>
      <w:r>
        <w:rPr>
          <w:rFonts w:hint="cs"/>
          <w:rtl/>
        </w:rPr>
        <w:t>רמב"ם הלכות אבל ג:ז</w:t>
      </w:r>
    </w:p>
    <w:p w14:paraId="144BAFE9" w14:textId="10C11639" w:rsidR="0014343F" w:rsidRDefault="0014343F" w:rsidP="0014343F">
      <w:pPr>
        <w:rPr>
          <w:rtl/>
        </w:rPr>
      </w:pPr>
      <w:r w:rsidRPr="0014343F">
        <w:rPr>
          <w:rtl/>
        </w:rPr>
        <w:t>נטמא מקודם ואחר כך נכנס לאהל אם התרו בו לוקה אף על הביאה. +/השגת הראב"ד/ נטמא מקודם וכו'. א"א הרב אינו פוסק כן והא לא מיחוור דסוגיא דשמעתא כרבה דטומאה וטומאה שלא בחבורין נמי לא מחייב וכ"ש בחבורין וטומאת ביאה נמי לא מיחייב אלא היכא דאתו בבת אחת.+</w:t>
      </w:r>
      <w:r w:rsidR="00457474">
        <w:rPr>
          <w:rFonts w:hint="cs"/>
          <w:rtl/>
        </w:rPr>
        <w:t xml:space="preserve"> (ע' במגדל עוז)</w:t>
      </w:r>
    </w:p>
    <w:p w14:paraId="4F1A30E5" w14:textId="20A5F14E" w:rsidR="0014343F" w:rsidRDefault="00117CF0" w:rsidP="00117CF0">
      <w:pPr>
        <w:pStyle w:val="Heading2"/>
        <w:rPr>
          <w:rtl/>
        </w:rPr>
      </w:pPr>
      <w:r>
        <w:rPr>
          <w:rFonts w:hint="cs"/>
          <w:rtl/>
        </w:rPr>
        <w:t>רמב"ם הלכות נזירות ה:טו-יז</w:t>
      </w:r>
    </w:p>
    <w:p w14:paraId="036D40F4" w14:textId="77777777" w:rsidR="00117CF0" w:rsidRPr="00117CF0" w:rsidRDefault="00117CF0" w:rsidP="00117CF0">
      <w:pPr>
        <w:pStyle w:val="Heading2"/>
        <w:rPr>
          <w:color w:val="auto"/>
          <w:sz w:val="22"/>
          <w:szCs w:val="22"/>
          <w:shd w:val="clear" w:color="auto" w:fill="auto"/>
          <w:rtl/>
        </w:rPr>
      </w:pPr>
      <w:r w:rsidRPr="00117CF0">
        <w:rPr>
          <w:color w:val="auto"/>
          <w:sz w:val="22"/>
          <w:szCs w:val="22"/>
          <w:shd w:val="clear" w:color="auto" w:fill="auto"/>
          <w:rtl/>
        </w:rPr>
        <w:t xml:space="preserve">נזיר שנטמא למת טומאת שבעה, בין בטומאות שהוא מגלח עליהן כמו שיתבאר בין בטומאות שאינו מגלח עליהן הרי זה לוקה. +/השגת הראב"ד/ נזיר שנטמא למת טומאת שבעה וכו' בד"א בשנטמא ופירש. א"א עיינתי בשמועה במס' נזיר וראיתי דלדעת רב יוסף טומאה וטומאה בחיבורין של אדם במת אפילו התרו בו על כל אחת ואחת אינו חייב אלא אחת כדתניא נזיר שהיה מת על כתפו והושיטו לו מת אחר פטור אבל פירש וחזר ונגע חייב שתים וטומאה וביאה אפילו בחיבורין חייב שתים ודוקא בבת אחת כגון שנכנס לבית שיש בו גוסס ושהה שם עד שמת הואיל והם שני מיני שמות ובאין בבת אחת חייב שתים ורבה פליג עליה בכל טומאה וטומאה אפילו שלא בחיבורין אינו חייב אלא אחת הואיל וטמא הוא ומתניתא דקתני אל תטמא והוא מטמא חייב על כל אחת ואחת מוקים לה בטומאה ובביאה והא דאמר רב הונא נזיר שהיה בבית הקברות והושיטו לו מתו ומת אחר ונגע בו חייב ליתא דהא בחיבורין הוא וכיון דקי"ל רבה ורב יוסף הלכתא כרבה מעתה טומאה וטומאה אפילו פירש וחזר ונגע פטור והכהנים בזמן הזה טמאי מת הן ועוד אין עליהן חיוב טומאה והמחייב אותם עליו להביא ראיה.+  </w:t>
      </w:r>
    </w:p>
    <w:p w14:paraId="654FC1FB" w14:textId="77777777" w:rsidR="00117CF0" w:rsidRPr="00117CF0" w:rsidRDefault="00117CF0" w:rsidP="00117CF0">
      <w:pPr>
        <w:pStyle w:val="Heading2"/>
        <w:rPr>
          <w:color w:val="auto"/>
          <w:sz w:val="22"/>
          <w:szCs w:val="22"/>
          <w:shd w:val="clear" w:color="auto" w:fill="auto"/>
          <w:rtl/>
        </w:rPr>
      </w:pPr>
      <w:r w:rsidRPr="00117CF0">
        <w:rPr>
          <w:color w:val="auto"/>
          <w:sz w:val="22"/>
          <w:szCs w:val="22"/>
          <w:shd w:val="clear" w:color="auto" w:fill="auto"/>
          <w:rtl/>
        </w:rPr>
        <w:t xml:space="preserve">נטמא למת פעמים הרבה אע"פ שהוא חייב מלקות על כל אחת ואחת לשמים אין בית דין מלקין אותו אלא אחת, ואם התרו בו על כל פעם ופעם והוא מטמא לוקה /על/ כל אחת ואחת.  </w:t>
      </w:r>
    </w:p>
    <w:p w14:paraId="0C57D57E" w14:textId="6AFC843D" w:rsidR="00117CF0" w:rsidRDefault="00117CF0" w:rsidP="00117CF0">
      <w:pPr>
        <w:rPr>
          <w:rtl/>
        </w:rPr>
      </w:pPr>
      <w:r w:rsidRPr="00117CF0">
        <w:rPr>
          <w:rtl/>
        </w:rPr>
        <w:t>במה דברים אמורים בשנטמא ופירש וחזר ונגע או נשא או האהיל, אבל אם היה נוגע במת ועדיין המת בידו ונגע במת אחר אינו חייב אלא אחת אע"פ שהתרו בו על כל נגיעה ונגיעה שהרי מחולל ועומד.</w:t>
      </w:r>
    </w:p>
    <w:p w14:paraId="08090853" w14:textId="2C88E376" w:rsidR="00754342" w:rsidRDefault="00754342" w:rsidP="00754342">
      <w:pPr>
        <w:pStyle w:val="Heading2"/>
        <w:rPr>
          <w:rtl/>
        </w:rPr>
      </w:pPr>
      <w:r>
        <w:rPr>
          <w:rFonts w:hint="cs"/>
          <w:rtl/>
        </w:rPr>
        <w:t>שלחן ערוך יורה דעה שסט:א</w:t>
      </w:r>
    </w:p>
    <w:p w14:paraId="2EDE9863" w14:textId="5D2C1B3C" w:rsidR="00754342" w:rsidRDefault="00754342" w:rsidP="00754342">
      <w:pPr>
        <w:pStyle w:val="Heading2"/>
        <w:rPr>
          <w:rtl/>
        </w:rPr>
      </w:pPr>
      <w:r>
        <w:rPr>
          <w:rFonts w:hint="cs"/>
          <w:rtl/>
        </w:rPr>
        <w:t>ר' עקיבא איגר שם</w:t>
      </w:r>
    </w:p>
    <w:p w14:paraId="6C6ACB63" w14:textId="5D47ACC3" w:rsidR="00754342" w:rsidRPr="00754342" w:rsidRDefault="00754342" w:rsidP="00754342">
      <w:pPr>
        <w:pStyle w:val="Heading2"/>
        <w:rPr>
          <w:color w:val="auto"/>
          <w:sz w:val="22"/>
          <w:szCs w:val="22"/>
          <w:shd w:val="clear" w:color="auto" w:fill="auto"/>
          <w:rtl/>
        </w:rPr>
      </w:pPr>
      <w:r w:rsidRPr="00754342">
        <w:rPr>
          <w:color w:val="auto"/>
          <w:sz w:val="22"/>
          <w:szCs w:val="22"/>
          <w:shd w:val="clear" w:color="auto" w:fill="auto"/>
          <w:rtl/>
        </w:rPr>
        <w:lastRenderedPageBreak/>
        <w:t>הכהן. ולענין כהנים בזה"ז דבלא"ה כולם טמאי מתים עי' בהשגת הראב"ד (פ"ה מהלכות נזירות) וסמ"ג (עשין רל"א) ועי' בתשו'</w:t>
      </w:r>
      <w:r>
        <w:rPr>
          <w:color w:val="auto"/>
          <w:sz w:val="22"/>
          <w:szCs w:val="22"/>
          <w:shd w:val="clear" w:color="auto" w:fill="auto"/>
          <w:rtl/>
        </w:rPr>
        <w:t xml:space="preserve"> זרע אברהם (ח"א סי' י"ז) בארוכה</w:t>
      </w:r>
    </w:p>
    <w:p w14:paraId="3AF4D214" w14:textId="21BBAAA1" w:rsidR="00754342" w:rsidRDefault="00754342" w:rsidP="00754342">
      <w:pPr>
        <w:rPr>
          <w:rtl/>
        </w:rPr>
      </w:pPr>
      <w:r w:rsidRPr="00754342">
        <w:rPr>
          <w:rtl/>
        </w:rPr>
        <w:t>וכל ארץ העמים. ועכשיו לא נהגו ליזהר ואולי יש להקל מפני הפרנסה כי היכי דשרי להציל מיד עובד כוכבים (כדלקמן סי' שע"ב) א"נ מפני שכולנו טמאי מתים הריק"ש:</w:t>
      </w:r>
    </w:p>
    <w:p w14:paraId="4931201F" w14:textId="2ADAAC3C" w:rsidR="00A015BF" w:rsidRDefault="00A015BF" w:rsidP="00A015BF">
      <w:pPr>
        <w:pStyle w:val="Heading2"/>
        <w:rPr>
          <w:rtl/>
        </w:rPr>
      </w:pPr>
      <w:r>
        <w:rPr>
          <w:rFonts w:hint="cs"/>
          <w:rtl/>
        </w:rPr>
        <w:t>שלחן ערוך יורה ד</w:t>
      </w:r>
      <w:r w:rsidR="0053557F">
        <w:rPr>
          <w:rFonts w:hint="cs"/>
          <w:rtl/>
        </w:rPr>
        <w:t>עה שעב:ב</w:t>
      </w:r>
    </w:p>
    <w:p w14:paraId="0D87B941" w14:textId="4A6B6EEA" w:rsidR="0053557F" w:rsidRPr="0053557F" w:rsidRDefault="0053557F" w:rsidP="0053557F">
      <w:pPr>
        <w:rPr>
          <w:rFonts w:hint="cs"/>
          <w:rtl/>
        </w:rPr>
      </w:pPr>
      <w:r>
        <w:rPr>
          <w:rtl/>
        </w:rPr>
        <w:t>קברי עובדי כוכבים, כון ליזהר הכהן</w:t>
      </w:r>
      <w:r w:rsidRPr="0053557F">
        <w:rPr>
          <w:rtl/>
        </w:rPr>
        <w:t xml:space="preserve"> מלילך עליהם; </w:t>
      </w:r>
      <w:r w:rsidRPr="0053557F">
        <w:rPr>
          <w:sz w:val="18"/>
          <w:szCs w:val="18"/>
          <w:rtl/>
        </w:rPr>
        <w:t>(אע"פ שיש מקילין (רמב"ם והגמי"י בשם ס' יראים). ונכון להחמיר. אבל קבר של מומר, מטמא כשל ישראל) (רשב"א סי' קצ"ד, ורמ"ב).</w:t>
      </w:r>
    </w:p>
    <w:p w14:paraId="0D9BE50A" w14:textId="02CF0181" w:rsidR="005028E4" w:rsidRDefault="007B1296" w:rsidP="00A015BF">
      <w:pPr>
        <w:pStyle w:val="Heading2"/>
        <w:rPr>
          <w:noProof/>
          <w:rtl/>
        </w:rPr>
      </w:pPr>
      <w:hyperlink r:id="rId9" w:history="1">
        <w:r w:rsidR="00A015BF" w:rsidRPr="007B1296">
          <w:rPr>
            <w:rStyle w:val="Hyperlink"/>
            <w:rFonts w:hint="cs"/>
            <w:rtl/>
          </w:rPr>
          <w:t>דגול מרבבה שם</w:t>
        </w:r>
        <w:r w:rsidR="005028E4" w:rsidRPr="007B1296">
          <w:rPr>
            <w:rStyle w:val="Hyperlink"/>
            <w:noProof/>
          </w:rPr>
          <w:t xml:space="preserve"> </w:t>
        </w:r>
        <w:r w:rsidRPr="007B1296">
          <w:rPr>
            <w:rStyle w:val="Hyperlink"/>
            <w:rFonts w:hint="cs"/>
            <w:noProof/>
            <w:rtl/>
          </w:rPr>
          <w:t>(</w:t>
        </w:r>
        <w:r w:rsidRPr="007B1296">
          <w:rPr>
            <w:rStyle w:val="Hyperlink"/>
            <w:noProof/>
          </w:rPr>
          <w:t>Link</w:t>
        </w:r>
        <w:r w:rsidRPr="007B1296">
          <w:rPr>
            <w:rStyle w:val="Hyperlink"/>
            <w:rFonts w:hint="cs"/>
            <w:noProof/>
            <w:rtl/>
          </w:rPr>
          <w:t>)</w:t>
        </w:r>
      </w:hyperlink>
    </w:p>
    <w:p w14:paraId="6D9BDAAD" w14:textId="29259711" w:rsidR="00A015BF" w:rsidRDefault="005028E4" w:rsidP="00A015BF">
      <w:pPr>
        <w:pStyle w:val="Heading2"/>
        <w:rPr>
          <w:rtl/>
        </w:rPr>
      </w:pPr>
      <w:r>
        <w:rPr>
          <w:noProof/>
        </w:rPr>
        <w:drawing>
          <wp:anchor distT="0" distB="0" distL="114300" distR="114300" simplePos="0" relativeHeight="251661312" behindDoc="0" locked="0" layoutInCell="1" allowOverlap="1" wp14:anchorId="5BF87140" wp14:editId="2E91612C">
            <wp:simplePos x="0" y="0"/>
            <wp:positionH relativeFrom="column">
              <wp:posOffset>3249930</wp:posOffset>
            </wp:positionH>
            <wp:positionV relativeFrom="paragraph">
              <wp:posOffset>4445</wp:posOffset>
            </wp:positionV>
            <wp:extent cx="2766060" cy="18643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66060" cy="1864360"/>
                    </a:xfrm>
                    <a:prstGeom prst="rect">
                      <a:avLst/>
                    </a:prstGeom>
                  </pic:spPr>
                </pic:pic>
              </a:graphicData>
            </a:graphic>
          </wp:anchor>
        </w:drawing>
      </w:r>
      <w:r>
        <w:rPr>
          <w:noProof/>
        </w:rPr>
        <w:drawing>
          <wp:inline distT="0" distB="0" distL="0" distR="0" wp14:anchorId="32BF256C" wp14:editId="47F43418">
            <wp:extent cx="2116836" cy="2231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22974" cy="2237729"/>
                    </a:xfrm>
                    <a:prstGeom prst="rect">
                      <a:avLst/>
                    </a:prstGeom>
                  </pic:spPr>
                </pic:pic>
              </a:graphicData>
            </a:graphic>
          </wp:inline>
        </w:drawing>
      </w:r>
    </w:p>
    <w:p w14:paraId="7B603881" w14:textId="54BCC31B" w:rsidR="00E66A95" w:rsidRPr="00E66A95" w:rsidRDefault="00E66A95" w:rsidP="004934FF">
      <w:pPr>
        <w:pStyle w:val="Heading2"/>
        <w:rPr>
          <w:rtl/>
        </w:rPr>
      </w:pPr>
      <w:r>
        <w:rPr>
          <w:rFonts w:hint="cs"/>
          <w:rtl/>
        </w:rPr>
        <w:t xml:space="preserve">שו"ת חת"ם סופר </w:t>
      </w:r>
      <w:r w:rsidRPr="00E66A95">
        <w:rPr>
          <w:shd w:val="clear" w:color="auto" w:fill="auto"/>
          <w:rtl/>
        </w:rPr>
        <w:t>חלק ב (יורה דעה) סימן של</w:t>
      </w:r>
      <w:r w:rsidR="004934FF">
        <w:rPr>
          <w:rFonts w:hint="cs"/>
          <w:shd w:val="clear" w:color="auto" w:fill="auto"/>
          <w:rtl/>
        </w:rPr>
        <w:t>ח</w:t>
      </w:r>
      <w:r w:rsidR="00A4037A">
        <w:rPr>
          <w:rStyle w:val="FootnoteReference"/>
          <w:color w:val="auto"/>
          <w:sz w:val="22"/>
          <w:szCs w:val="22"/>
          <w:shd w:val="clear" w:color="auto" w:fill="auto"/>
          <w:rtl/>
        </w:rPr>
        <w:footnoteReference w:id="1"/>
      </w:r>
    </w:p>
    <w:p w14:paraId="4FA58600" w14:textId="56E7551F" w:rsidR="004934FF" w:rsidRDefault="004934FF" w:rsidP="004934FF">
      <w:pPr>
        <w:rPr>
          <w:rtl/>
        </w:rPr>
      </w:pPr>
      <w:r w:rsidRPr="004934FF">
        <w:rPr>
          <w:rtl/>
        </w:rPr>
        <w:t>ומ"ש רמכ"ת בסוף דבריו דלהראב"ד כהנים בזה"ז אינם מוזהרים על הטומאה כיון שכולנו טמאי מתים יעיין בדגול מרבבה בי"ד סי' שע"א /שע"ב/ ד"ה אמר יחזקאל וכו' ונהירנא כד הוינא טלי יוצק מים ע"י מורי חסיד שבכהונה הגאון מה"ו נתן אדלער ז"ל שנת תקמ"ג בעברנו דרך פראג ראה פני הגאון נב"י זצ"ל והי' פלפולם בדברי הראב"ד והנב"י הראה למורי זצ"ל את אשר כ' על גליונו ומ"ו ז"ל פלפל עליו ונפרדו זה מזה והחליפו פלפולם ע"י ואני הייתי מוציא ומבי' הדברים ואז חזר בו הגאון נב"י והוסיף על הגליון הך אמר יחזקאל וכו' ואני בעניי אח"ז כמו שלשים שנים מצאתי שכ"כ הראב"ד בתמים דעים סס"י רל"ו דאסורי' מן התורה ודברי סמ"ק סי' מ"ח אין לו מובן וצ"ע על כל פנים אין לו למכ"ת משען בזה.</w:t>
      </w:r>
    </w:p>
    <w:p w14:paraId="0300F5EE" w14:textId="32D3C672" w:rsidR="004934FF" w:rsidRPr="004934FF" w:rsidRDefault="004934FF" w:rsidP="004934FF">
      <w:pPr>
        <w:pStyle w:val="Heading2"/>
        <w:rPr>
          <w:rtl/>
        </w:rPr>
      </w:pPr>
      <w:r>
        <w:rPr>
          <w:rFonts w:hint="cs"/>
          <w:rtl/>
        </w:rPr>
        <w:t xml:space="preserve">שו"ת חת"ם סופר </w:t>
      </w:r>
      <w:r w:rsidRPr="00E66A95">
        <w:rPr>
          <w:shd w:val="clear" w:color="auto" w:fill="auto"/>
          <w:rtl/>
        </w:rPr>
        <w:t>חלק ב (יורה דעה) סימן שלט</w:t>
      </w:r>
    </w:p>
    <w:p w14:paraId="2C2B798E" w14:textId="6BB9251A" w:rsidR="00E66A95" w:rsidRPr="00A4037A" w:rsidRDefault="00E66A95" w:rsidP="00C44983">
      <w:pPr>
        <w:pStyle w:val="Heading2"/>
        <w:rPr>
          <w:color w:val="auto"/>
          <w:sz w:val="22"/>
          <w:szCs w:val="22"/>
          <w:shd w:val="clear" w:color="auto" w:fill="auto"/>
          <w:rtl/>
        </w:rPr>
      </w:pPr>
      <w:r>
        <w:rPr>
          <w:color w:val="auto"/>
          <w:sz w:val="22"/>
          <w:szCs w:val="22"/>
          <w:shd w:val="clear" w:color="auto" w:fill="auto"/>
          <w:rtl/>
        </w:rPr>
        <w:t xml:space="preserve"> </w:t>
      </w:r>
      <w:r>
        <w:rPr>
          <w:rFonts w:hint="cs"/>
          <w:color w:val="auto"/>
          <w:sz w:val="22"/>
          <w:szCs w:val="22"/>
          <w:shd w:val="clear" w:color="auto" w:fill="auto"/>
          <w:rtl/>
        </w:rPr>
        <w:t>...</w:t>
      </w:r>
      <w:r w:rsidRPr="00E66A95">
        <w:rPr>
          <w:color w:val="auto"/>
          <w:sz w:val="22"/>
          <w:szCs w:val="22"/>
          <w:shd w:val="clear" w:color="auto" w:fill="auto"/>
          <w:rtl/>
        </w:rPr>
        <w:t>לכאורה אין אי' דאוריי' על הספק אך דעת ר"ת דמייתי הרא"ש בהל' טומאת כהנים סי' ו' דבאותו יום שנטמא הכהן שוב אין באותו היום תוספת טומאה ומה"ת מותר לטמאות עצמו עוד וזה שכ' תוס' בשבועות י"ד ע"א ד"ה נזיר וכו' ומ"ש תוס' דסוגיא דנזיר לא אתי כי האי רצו לומר כיון דאין הטומאה בחבור כשמטמא עוד מוסיף טומאה וכמ"ש תוס' בנזיר מ"ב ע"ב ד"ה א"ל רב יוסף כו' מ"מ ר"ת מפרש סוגיא דנזיר כפירש"י ע"ש היטב נמצא לר"ת ורש"י אי נטמא כבר באותו היום שוב אין כאן אי' דאוריי' וכ"פ ר"א ממיץ בס' יראים סי' שי"א ע"ש והראב"ד מקיל עוד יותר בפ"ה מנזירות ה' ט"ז דאפי' אי נטמא פ"א =פעם אחת= שוב אין לוקה על טומאה כלל רק אי' דרבנן בעלמא והוא תמוה מה יענה מפלוגתת ר"ע ור"ט והלח"מ לא ירד לזה ע"ש והראב"ד בתמים דעים סי' רל"ו פסק להדיא כהרמב"ם ורוב הפוסקים ותרי ראב"ד הוא ודעת ס' יראים סי' הנ"ל דגוי אינו מטמא אפי' במגע אף על פי שהוא ממש דעת יחידי מ"מ חזי לאצטרופי לכל הנך קולות הנ"ל ומל"מ פ"ג מאבל לא ידע אלא דעת הראב"ד ולא דעת רש"י ור"ת ורא"מ ודגול מרבבה בי"ד סי' שע"ב ד"ה אמר יחזקאל כו' לא ירד לעומק הדרן להנ"ל אם יארע יום שמת עליו מת ישראל בשכונתו באופן שנטמא באותו יום ושוב יש לסמוך ארש"י ור"ת ורא"מ וראב"ד ומצורף לזה אידך דרא"מ דעכו"ם אין בו איסור</w:t>
      </w:r>
      <w:r>
        <w:rPr>
          <w:color w:val="auto"/>
          <w:sz w:val="22"/>
          <w:szCs w:val="22"/>
          <w:shd w:val="clear" w:color="auto" w:fill="auto"/>
          <w:rtl/>
        </w:rPr>
        <w:t xml:space="preserve"> מגע ויכול לסמוך במקום ס' סכנה</w:t>
      </w:r>
      <w:r>
        <w:rPr>
          <w:rFonts w:hint="cs"/>
          <w:color w:val="auto"/>
          <w:sz w:val="22"/>
          <w:szCs w:val="22"/>
          <w:shd w:val="clear" w:color="auto" w:fill="auto"/>
          <w:rtl/>
        </w:rPr>
        <w:t>...</w:t>
      </w:r>
    </w:p>
    <w:p w14:paraId="6C51E460" w14:textId="2478830B" w:rsidR="00CE6BDD" w:rsidRDefault="00AA3696" w:rsidP="00AA3696">
      <w:pPr>
        <w:pStyle w:val="Heading3"/>
        <w:rPr>
          <w:rtl/>
        </w:rPr>
      </w:pPr>
      <w:r>
        <w:rPr>
          <w:rFonts w:hint="cs"/>
          <w:rtl/>
        </w:rPr>
        <w:lastRenderedPageBreak/>
        <w:t>גופא</w:t>
      </w:r>
    </w:p>
    <w:p w14:paraId="1832FCEE" w14:textId="799A091E" w:rsidR="00AC4C95" w:rsidRPr="00AC4C95" w:rsidRDefault="00AC4C95" w:rsidP="00AC4C95">
      <w:pPr>
        <w:pStyle w:val="Heading2"/>
        <w:rPr>
          <w:shd w:val="clear" w:color="auto" w:fill="auto"/>
          <w:rtl/>
        </w:rPr>
      </w:pPr>
      <w:r w:rsidRPr="00AC4C95">
        <w:rPr>
          <w:shd w:val="clear" w:color="auto" w:fill="auto"/>
          <w:rtl/>
        </w:rPr>
        <w:t>יד מלאכי כללי התלמוד כלל עג</w:t>
      </w:r>
      <w:r w:rsidRPr="00AC4C95">
        <w:rPr>
          <w:color w:val="auto"/>
          <w:sz w:val="22"/>
          <w:szCs w:val="22"/>
          <w:shd w:val="clear" w:color="auto" w:fill="auto"/>
          <w:rtl/>
        </w:rPr>
        <w:t xml:space="preserve">   </w:t>
      </w:r>
    </w:p>
    <w:p w14:paraId="771DF27A" w14:textId="77777777" w:rsidR="00AC4C95" w:rsidRPr="00AC4C95" w:rsidRDefault="00AC4C95" w:rsidP="00AC4C95">
      <w:pPr>
        <w:pStyle w:val="Heading2"/>
        <w:rPr>
          <w:color w:val="auto"/>
          <w:sz w:val="22"/>
          <w:szCs w:val="22"/>
          <w:shd w:val="clear" w:color="auto" w:fill="auto"/>
          <w:rtl/>
        </w:rPr>
      </w:pPr>
      <w:r w:rsidRPr="00AC4C95">
        <w:rPr>
          <w:color w:val="auto"/>
          <w:sz w:val="22"/>
          <w:szCs w:val="22"/>
          <w:shd w:val="clear" w:color="auto" w:fill="auto"/>
          <w:rtl/>
        </w:rPr>
        <w:t>אמר מר, מצינו על דברי אמורא, ע"ז ריש פרק ר' ישמעאל [דף] נ' א' ואפשר לדחות דמשום דהא רבי יוחנן קאמר עליה אמר מר משום דר' יוחנן תנא הוא מיהו מוהרי"ק ז"ל מצא על דברי רב הונא והוא חידוש שלא מצינו ברב הונא שיאמרו עליו תנא הוא כמ"ש על רב ור' יוחנן כ"כ מוהר"ש אלגאזי ז"ל בספר הליכות אלי כלל פ"ג.</w:t>
      </w:r>
    </w:p>
    <w:p w14:paraId="7A45D192" w14:textId="52EC1F1E" w:rsidR="00AC4C95" w:rsidRPr="00AC4C95" w:rsidRDefault="00AC4C95" w:rsidP="00AC4C95">
      <w:pPr>
        <w:rPr>
          <w:rtl/>
        </w:rPr>
      </w:pPr>
      <w:r w:rsidRPr="00AC4C95">
        <w:rPr>
          <w:rtl/>
        </w:rPr>
        <w:t xml:space="preserve">  ואני המך מצאתי עוד בפרק קמא דר"ה [דף] כ' ב' דקאמר אמר מר על מימרא דר' זירא וכן בסוף פ"ק דיומא [דף] כ"א סוף ע"ב קאמר הכי על מימרא דרב יצחק בר אבדימי גם בפרק כסוי הדם [דף] פ"ה ב' קאמר אמר מר על מימרא דר' אבא ע"ש, עיין בתחלת אות הריש שהוכחתי בראיות נכונות נגד מה שכתב כאן פעם ושתים דר' יוחנן תנא הוא ופליג דליתא מלבד שהפך מזה כתב איהו גופיה ביבין שמועה דף ח"י ב' ע"ש:    </w:t>
      </w:r>
    </w:p>
    <w:p w14:paraId="05D85909" w14:textId="7561AD13" w:rsidR="00BE4D18" w:rsidRDefault="00BE4D18" w:rsidP="00BE4D18">
      <w:pPr>
        <w:pStyle w:val="Heading3"/>
        <w:rPr>
          <w:rtl/>
        </w:rPr>
      </w:pPr>
      <w:r>
        <w:rPr>
          <w:rFonts w:hint="cs"/>
          <w:rtl/>
        </w:rPr>
        <w:t>שומע כעונה</w:t>
      </w:r>
    </w:p>
    <w:p w14:paraId="131FA0C6" w14:textId="3CE183A8" w:rsidR="00BE4D18" w:rsidRDefault="00B95A77" w:rsidP="00BE4D18">
      <w:pPr>
        <w:pStyle w:val="Heading2"/>
        <w:rPr>
          <w:rtl/>
        </w:rPr>
      </w:pPr>
      <w:r>
        <w:rPr>
          <w:rFonts w:hint="cs"/>
          <w:rtl/>
        </w:rPr>
        <w:t xml:space="preserve">רש"י ותוספות במגילה </w:t>
      </w:r>
    </w:p>
    <w:p w14:paraId="5E0EB5CF" w14:textId="248ECB28" w:rsidR="00BE4D18" w:rsidRPr="00BE4D18" w:rsidRDefault="00BE4D18" w:rsidP="00BE4D18">
      <w:pPr>
        <w:pStyle w:val="Heading2"/>
      </w:pPr>
      <w:r>
        <w:rPr>
          <w:rFonts w:hint="cs"/>
          <w:rtl/>
        </w:rPr>
        <w:t xml:space="preserve">נפש הרב עמ' לה </w:t>
      </w:r>
      <w:r>
        <w:rPr>
          <w:rtl/>
        </w:rPr>
        <w:t>–</w:t>
      </w:r>
      <w:r>
        <w:rPr>
          <w:rFonts w:hint="cs"/>
          <w:rtl/>
        </w:rPr>
        <w:t xml:space="preserve"> ברכת המזון בחבורה</w:t>
      </w:r>
    </w:p>
    <w:sectPr w:rsidR="00BE4D18" w:rsidRPr="00BE4D1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0D5EF" w14:textId="77777777" w:rsidR="00F27766" w:rsidRDefault="00F27766" w:rsidP="00AE281B">
      <w:r>
        <w:separator/>
      </w:r>
    </w:p>
  </w:endnote>
  <w:endnote w:type="continuationSeparator" w:id="0">
    <w:p w14:paraId="3CFC230F" w14:textId="77777777" w:rsidR="00F27766" w:rsidRDefault="00F27766"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47F0E"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E6FDD" w14:textId="77777777" w:rsidR="00F27766" w:rsidRDefault="00F27766" w:rsidP="00AE281B">
      <w:r>
        <w:separator/>
      </w:r>
    </w:p>
  </w:footnote>
  <w:footnote w:type="continuationSeparator" w:id="0">
    <w:p w14:paraId="199F8202" w14:textId="77777777" w:rsidR="00F27766" w:rsidRDefault="00F27766" w:rsidP="00AE281B">
      <w:r>
        <w:continuationSeparator/>
      </w:r>
    </w:p>
  </w:footnote>
  <w:footnote w:id="1">
    <w:p w14:paraId="6895C08B" w14:textId="77777777" w:rsidR="00A4037A" w:rsidRDefault="00A4037A" w:rsidP="00A4037A">
      <w:pPr>
        <w:pStyle w:val="FootnoteText"/>
        <w:rPr>
          <w:rFonts w:hint="cs"/>
        </w:rPr>
      </w:pPr>
      <w:r>
        <w:rPr>
          <w:rStyle w:val="FootnoteReference"/>
        </w:rPr>
        <w:footnoteRef/>
      </w:r>
      <w:r>
        <w:rPr>
          <w:rtl/>
        </w:rPr>
        <w:t xml:space="preserve"> </w:t>
      </w:r>
      <w:r>
        <w:rPr>
          <w:rFonts w:hint="cs"/>
          <w:rtl/>
        </w:rPr>
        <w:t>ובערות לסימן יד ציינו מכל זה וכתבו</w:t>
      </w:r>
      <w:r w:rsidRPr="00153BEB">
        <w:rPr>
          <w:rtl/>
        </w:rPr>
        <w:t xml:space="preserve"> </w:t>
      </w:r>
      <w:r>
        <w:rPr>
          <w:rFonts w:hint="cs"/>
          <w:rtl/>
        </w:rPr>
        <w:t>לעיין</w:t>
      </w:r>
      <w:r w:rsidRPr="00153BEB">
        <w:rPr>
          <w:rtl/>
        </w:rPr>
        <w:t xml:space="preserve"> שם סי' של"ט ד"ה לכאורה, וסי' ש"מ אות א' סוד"ה טומאה, וחאו"ח סי' כ"ג ד"ה מתוך הדברים. וכ"כ בהגהותיו לשו"ע יו"ד סי' שע"ב.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217A" w14:textId="004A0D33" w:rsidR="000005CB" w:rsidRDefault="00F27766" w:rsidP="00F27766">
    <w:pPr>
      <w:pStyle w:val="Header"/>
      <w:bidi w:val="0"/>
    </w:pPr>
    <w:r>
      <w:rPr>
        <w:rFonts w:hint="cs"/>
        <w:rtl/>
      </w:rPr>
      <w:t>שיעור כ</w:t>
    </w:r>
    <w:r w:rsidR="00C83F22">
      <w:rPr>
        <w:rFonts w:hint="cs"/>
        <w:rtl/>
      </w:rPr>
      <w:t>"ה</w:t>
    </w:r>
    <w:r w:rsidR="00BA2963">
      <w:rPr>
        <w:rFonts w:hint="cs"/>
        <w:rtl/>
      </w:rPr>
      <w:t xml:space="preserve"> -</w:t>
    </w:r>
    <w:r w:rsidR="00527574">
      <w:rPr>
        <w:rFonts w:hint="cs"/>
        <w:rtl/>
      </w:rPr>
      <w:t xml:space="preserve"> מס' </w:t>
    </w:r>
    <w:r w:rsidR="00114827">
      <w:rPr>
        <w:rFonts w:hint="cs"/>
        <w:rtl/>
      </w:rPr>
      <w:t>סנהדרין</w:t>
    </w:r>
    <w:r w:rsidR="000005CB">
      <w:rPr>
        <w:rtl/>
      </w:rPr>
      <w:tab/>
    </w:r>
    <w:r w:rsidRPr="00F27766">
      <w:rPr>
        <w:rtl/>
      </w:rPr>
      <w:t>‏י"ד חשון תשע"ו</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66"/>
    <w:rsid w:val="000005CB"/>
    <w:rsid w:val="000573CF"/>
    <w:rsid w:val="00114827"/>
    <w:rsid w:val="00117CF0"/>
    <w:rsid w:val="00125C0B"/>
    <w:rsid w:val="0014343F"/>
    <w:rsid w:val="00153BEB"/>
    <w:rsid w:val="00155890"/>
    <w:rsid w:val="001D4703"/>
    <w:rsid w:val="00262F3E"/>
    <w:rsid w:val="002A4354"/>
    <w:rsid w:val="002B5A91"/>
    <w:rsid w:val="002C0CEB"/>
    <w:rsid w:val="00365395"/>
    <w:rsid w:val="00457474"/>
    <w:rsid w:val="004934FF"/>
    <w:rsid w:val="004F68EB"/>
    <w:rsid w:val="005028E4"/>
    <w:rsid w:val="00527574"/>
    <w:rsid w:val="0053557F"/>
    <w:rsid w:val="005F54E7"/>
    <w:rsid w:val="00754342"/>
    <w:rsid w:val="007A4624"/>
    <w:rsid w:val="007B1296"/>
    <w:rsid w:val="007F0325"/>
    <w:rsid w:val="0084071D"/>
    <w:rsid w:val="00877D2E"/>
    <w:rsid w:val="008F2FC0"/>
    <w:rsid w:val="00956A5D"/>
    <w:rsid w:val="00965BA4"/>
    <w:rsid w:val="00994F6A"/>
    <w:rsid w:val="00995396"/>
    <w:rsid w:val="009E247D"/>
    <w:rsid w:val="00A015BF"/>
    <w:rsid w:val="00A4037A"/>
    <w:rsid w:val="00A540A6"/>
    <w:rsid w:val="00A6196D"/>
    <w:rsid w:val="00AA15F1"/>
    <w:rsid w:val="00AA3696"/>
    <w:rsid w:val="00AC4C95"/>
    <w:rsid w:val="00AD7DB9"/>
    <w:rsid w:val="00AE281B"/>
    <w:rsid w:val="00AF6D7E"/>
    <w:rsid w:val="00B27BAF"/>
    <w:rsid w:val="00B95A77"/>
    <w:rsid w:val="00B97B87"/>
    <w:rsid w:val="00BA2963"/>
    <w:rsid w:val="00BC2476"/>
    <w:rsid w:val="00BE4D18"/>
    <w:rsid w:val="00C227FC"/>
    <w:rsid w:val="00C3197E"/>
    <w:rsid w:val="00C402D8"/>
    <w:rsid w:val="00C44983"/>
    <w:rsid w:val="00C83F22"/>
    <w:rsid w:val="00C85D41"/>
    <w:rsid w:val="00CE6BDD"/>
    <w:rsid w:val="00CF55EA"/>
    <w:rsid w:val="00D40A69"/>
    <w:rsid w:val="00D854C8"/>
    <w:rsid w:val="00DA31A2"/>
    <w:rsid w:val="00E5188B"/>
    <w:rsid w:val="00E66A95"/>
    <w:rsid w:val="00E924C7"/>
    <w:rsid w:val="00EC7C87"/>
    <w:rsid w:val="00F1084F"/>
    <w:rsid w:val="00F27766"/>
    <w:rsid w:val="00FC2B04"/>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B7DC8"/>
  <w15:chartTrackingRefBased/>
  <w15:docId w15:val="{6D223B4B-9FA3-402C-87F8-FDB61DCE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ListParagraph">
    <w:name w:val="List Paragraph"/>
    <w:basedOn w:val="Normal"/>
    <w:uiPriority w:val="34"/>
    <w:qFormat/>
    <w:rsid w:val="00B27BAF"/>
    <w:pPr>
      <w:ind w:left="720"/>
      <w:contextualSpacing/>
    </w:pPr>
  </w:style>
  <w:style w:type="paragraph" w:styleId="Caption">
    <w:name w:val="caption"/>
    <w:basedOn w:val="Normal"/>
    <w:next w:val="Normal"/>
    <w:uiPriority w:val="35"/>
    <w:unhideWhenUsed/>
    <w:qFormat/>
    <w:rsid w:val="00365395"/>
    <w:pPr>
      <w:spacing w:after="200" w:line="240" w:lineRule="auto"/>
    </w:pPr>
    <w:rPr>
      <w:i/>
      <w:iCs/>
      <w:color w:val="44546A" w:themeColor="text2"/>
      <w:sz w:val="18"/>
      <w:szCs w:val="18"/>
    </w:rPr>
  </w:style>
  <w:style w:type="character" w:styleId="Hyperlink">
    <w:name w:val="Hyperlink"/>
    <w:basedOn w:val="DefaultParagraphFont"/>
    <w:uiPriority w:val="99"/>
    <w:unhideWhenUsed/>
    <w:rsid w:val="007B1296"/>
    <w:rPr>
      <w:color w:val="0563C1" w:themeColor="hyperlink"/>
      <w:u w:val="single"/>
    </w:rPr>
  </w:style>
  <w:style w:type="paragraph" w:styleId="FootnoteText">
    <w:name w:val="footnote text"/>
    <w:basedOn w:val="Normal"/>
    <w:link w:val="FootnoteTextChar"/>
    <w:uiPriority w:val="99"/>
    <w:semiHidden/>
    <w:unhideWhenUsed/>
    <w:rsid w:val="00153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BEB"/>
    <w:rPr>
      <w:rFonts w:ascii="Narkisim" w:hAnsi="Narkisim" w:cs="Narkisim"/>
      <w:sz w:val="20"/>
      <w:szCs w:val="20"/>
    </w:rPr>
  </w:style>
  <w:style w:type="character" w:styleId="FootnoteReference">
    <w:name w:val="footnote reference"/>
    <w:basedOn w:val="DefaultParagraphFont"/>
    <w:uiPriority w:val="99"/>
    <w:semiHidden/>
    <w:unhideWhenUsed/>
    <w:rsid w:val="00153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277807214">
      <w:bodyDiv w:val="1"/>
      <w:marLeft w:val="0"/>
      <w:marRight w:val="0"/>
      <w:marTop w:val="0"/>
      <w:marBottom w:val="0"/>
      <w:divBdr>
        <w:top w:val="none" w:sz="0" w:space="0" w:color="auto"/>
        <w:left w:val="none" w:sz="0" w:space="0" w:color="auto"/>
        <w:bottom w:val="none" w:sz="0" w:space="0" w:color="auto"/>
        <w:right w:val="none" w:sz="0" w:space="0" w:color="auto"/>
      </w:divBdr>
      <w:divsChild>
        <w:div w:id="2087335013">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581572492">
      <w:bodyDiv w:val="1"/>
      <w:marLeft w:val="0"/>
      <w:marRight w:val="0"/>
      <w:marTop w:val="0"/>
      <w:marBottom w:val="0"/>
      <w:divBdr>
        <w:top w:val="none" w:sz="0" w:space="0" w:color="auto"/>
        <w:left w:val="none" w:sz="0" w:space="0" w:color="auto"/>
        <w:bottom w:val="none" w:sz="0" w:space="0" w:color="auto"/>
        <w:right w:val="none" w:sz="0" w:space="0" w:color="auto"/>
      </w:divBdr>
      <w:divsChild>
        <w:div w:id="1054818415">
          <w:marLeft w:val="0"/>
          <w:marRight w:val="-45"/>
          <w:marTop w:val="0"/>
          <w:marBottom w:val="0"/>
          <w:divBdr>
            <w:top w:val="none" w:sz="0" w:space="0" w:color="auto"/>
            <w:left w:val="none" w:sz="0" w:space="0" w:color="auto"/>
            <w:bottom w:val="none" w:sz="0" w:space="0" w:color="auto"/>
            <w:right w:val="none" w:sz="0" w:space="0" w:color="auto"/>
          </w:divBdr>
        </w:div>
        <w:div w:id="1828284418">
          <w:marLeft w:val="0"/>
          <w:marRight w:val="-45"/>
          <w:marTop w:val="0"/>
          <w:marBottom w:val="0"/>
          <w:divBdr>
            <w:top w:val="none" w:sz="0" w:space="0" w:color="auto"/>
            <w:left w:val="none" w:sz="0" w:space="0" w:color="auto"/>
            <w:bottom w:val="none" w:sz="0" w:space="0" w:color="auto"/>
            <w:right w:val="none" w:sz="0" w:space="0" w:color="auto"/>
          </w:divBdr>
        </w:div>
        <w:div w:id="1149244033">
          <w:marLeft w:val="0"/>
          <w:marRight w:val="-45"/>
          <w:marTop w:val="0"/>
          <w:marBottom w:val="0"/>
          <w:divBdr>
            <w:top w:val="none" w:sz="0" w:space="0" w:color="auto"/>
            <w:left w:val="none" w:sz="0" w:space="0" w:color="auto"/>
            <w:bottom w:val="none" w:sz="0" w:space="0" w:color="auto"/>
            <w:right w:val="none" w:sz="0" w:space="0" w:color="auto"/>
          </w:divBdr>
        </w:div>
        <w:div w:id="1572349828">
          <w:marLeft w:val="0"/>
          <w:marRight w:val="-45"/>
          <w:marTop w:val="0"/>
          <w:marBottom w:val="0"/>
          <w:divBdr>
            <w:top w:val="none" w:sz="0" w:space="0" w:color="auto"/>
            <w:left w:val="none" w:sz="0" w:space="0" w:color="auto"/>
            <w:bottom w:val="none" w:sz="0" w:space="0" w:color="auto"/>
            <w:right w:val="none" w:sz="0" w:space="0" w:color="auto"/>
          </w:divBdr>
        </w:div>
        <w:div w:id="2002390514">
          <w:marLeft w:val="0"/>
          <w:marRight w:val="-45"/>
          <w:marTop w:val="0"/>
          <w:marBottom w:val="0"/>
          <w:divBdr>
            <w:top w:val="none" w:sz="0" w:space="0" w:color="auto"/>
            <w:left w:val="none" w:sz="0" w:space="0" w:color="auto"/>
            <w:bottom w:val="none" w:sz="0" w:space="0" w:color="auto"/>
            <w:right w:val="none" w:sz="0" w:space="0" w:color="auto"/>
          </w:divBdr>
        </w:div>
        <w:div w:id="77942450">
          <w:marLeft w:val="0"/>
          <w:marRight w:val="-45"/>
          <w:marTop w:val="0"/>
          <w:marBottom w:val="0"/>
          <w:divBdr>
            <w:top w:val="none" w:sz="0" w:space="0" w:color="auto"/>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548030668">
      <w:bodyDiv w:val="1"/>
      <w:marLeft w:val="0"/>
      <w:marRight w:val="0"/>
      <w:marTop w:val="0"/>
      <w:marBottom w:val="0"/>
      <w:divBdr>
        <w:top w:val="none" w:sz="0" w:space="0" w:color="auto"/>
        <w:left w:val="none" w:sz="0" w:space="0" w:color="auto"/>
        <w:bottom w:val="none" w:sz="0" w:space="0" w:color="auto"/>
        <w:right w:val="none" w:sz="0" w:space="0" w:color="auto"/>
      </w:divBdr>
      <w:divsChild>
        <w:div w:id="2084989960">
          <w:marLeft w:val="0"/>
          <w:marRight w:val="0"/>
          <w:marTop w:val="0"/>
          <w:marBottom w:val="0"/>
          <w:divBdr>
            <w:top w:val="single" w:sz="6" w:space="0" w:color="CECEC6"/>
            <w:left w:val="none" w:sz="0" w:space="0" w:color="auto"/>
            <w:bottom w:val="none" w:sz="0" w:space="0" w:color="auto"/>
            <w:right w:val="none" w:sz="0" w:space="0" w:color="auto"/>
          </w:divBdr>
        </w:div>
        <w:div w:id="1280651353">
          <w:marLeft w:val="0"/>
          <w:marRight w:val="0"/>
          <w:marTop w:val="0"/>
          <w:marBottom w:val="0"/>
          <w:divBdr>
            <w:top w:val="none" w:sz="0" w:space="0" w:color="auto"/>
            <w:left w:val="none" w:sz="0" w:space="0" w:color="auto"/>
            <w:bottom w:val="none" w:sz="0" w:space="0" w:color="auto"/>
            <w:right w:val="none" w:sz="0" w:space="0" w:color="auto"/>
          </w:divBdr>
          <w:divsChild>
            <w:div w:id="72508608">
              <w:marLeft w:val="0"/>
              <w:marRight w:val="-45"/>
              <w:marTop w:val="0"/>
              <w:marBottom w:val="0"/>
              <w:divBdr>
                <w:top w:val="none" w:sz="0" w:space="0" w:color="auto"/>
                <w:left w:val="none" w:sz="0" w:space="0" w:color="auto"/>
                <w:bottom w:val="none" w:sz="0" w:space="0" w:color="auto"/>
                <w:right w:val="none" w:sz="0" w:space="0" w:color="auto"/>
              </w:divBdr>
            </w:div>
            <w:div w:id="1328903082">
              <w:marLeft w:val="0"/>
              <w:marRight w:val="-45"/>
              <w:marTop w:val="0"/>
              <w:marBottom w:val="0"/>
              <w:divBdr>
                <w:top w:val="none" w:sz="0" w:space="0" w:color="auto"/>
                <w:left w:val="none" w:sz="0" w:space="0" w:color="auto"/>
                <w:bottom w:val="none" w:sz="0" w:space="0" w:color="auto"/>
                <w:right w:val="none" w:sz="0" w:space="0" w:color="auto"/>
              </w:divBdr>
            </w:div>
            <w:div w:id="1960990321">
              <w:marLeft w:val="0"/>
              <w:marRight w:val="-45"/>
              <w:marTop w:val="0"/>
              <w:marBottom w:val="0"/>
              <w:divBdr>
                <w:top w:val="none" w:sz="0" w:space="0" w:color="auto"/>
                <w:left w:val="none" w:sz="0" w:space="0" w:color="auto"/>
                <w:bottom w:val="none" w:sz="0" w:space="0" w:color="auto"/>
                <w:right w:val="none" w:sz="0" w:space="0" w:color="auto"/>
              </w:divBdr>
            </w:div>
            <w:div w:id="1046485779">
              <w:marLeft w:val="0"/>
              <w:marRight w:val="-45"/>
              <w:marTop w:val="0"/>
              <w:marBottom w:val="0"/>
              <w:divBdr>
                <w:top w:val="none" w:sz="0" w:space="0" w:color="auto"/>
                <w:left w:val="none" w:sz="0" w:space="0" w:color="auto"/>
                <w:bottom w:val="none" w:sz="0" w:space="0" w:color="auto"/>
                <w:right w:val="none" w:sz="0" w:space="0" w:color="auto"/>
              </w:divBdr>
            </w:div>
            <w:div w:id="994378025">
              <w:marLeft w:val="0"/>
              <w:marRight w:val="-45"/>
              <w:marTop w:val="0"/>
              <w:marBottom w:val="0"/>
              <w:divBdr>
                <w:top w:val="none" w:sz="0" w:space="0" w:color="auto"/>
                <w:left w:val="none" w:sz="0" w:space="0" w:color="auto"/>
                <w:bottom w:val="none" w:sz="0" w:space="0" w:color="auto"/>
                <w:right w:val="none" w:sz="0" w:space="0" w:color="auto"/>
              </w:divBdr>
            </w:div>
            <w:div w:id="134294755">
              <w:marLeft w:val="0"/>
              <w:marRight w:val="-45"/>
              <w:marTop w:val="0"/>
              <w:marBottom w:val="0"/>
              <w:divBdr>
                <w:top w:val="none" w:sz="0" w:space="0" w:color="auto"/>
                <w:left w:val="none" w:sz="0" w:space="0" w:color="auto"/>
                <w:bottom w:val="none" w:sz="0" w:space="0" w:color="auto"/>
                <w:right w:val="none" w:sz="0" w:space="0" w:color="auto"/>
              </w:divBdr>
            </w:div>
            <w:div w:id="151144408">
              <w:marLeft w:val="0"/>
              <w:marRight w:val="-45"/>
              <w:marTop w:val="0"/>
              <w:marBottom w:val="0"/>
              <w:divBdr>
                <w:top w:val="none" w:sz="0" w:space="0" w:color="auto"/>
                <w:left w:val="none" w:sz="0" w:space="0" w:color="auto"/>
                <w:bottom w:val="none" w:sz="0" w:space="0" w:color="auto"/>
                <w:right w:val="none" w:sz="0" w:space="0" w:color="auto"/>
              </w:divBdr>
            </w:div>
            <w:div w:id="1293291453">
              <w:marLeft w:val="0"/>
              <w:marRight w:val="-45"/>
              <w:marTop w:val="0"/>
              <w:marBottom w:val="0"/>
              <w:divBdr>
                <w:top w:val="none" w:sz="0" w:space="0" w:color="auto"/>
                <w:left w:val="none" w:sz="0" w:space="0" w:color="auto"/>
                <w:bottom w:val="none" w:sz="0" w:space="0" w:color="auto"/>
                <w:right w:val="none" w:sz="0" w:space="0" w:color="auto"/>
              </w:divBdr>
            </w:div>
            <w:div w:id="1411386688">
              <w:marLeft w:val="0"/>
              <w:marRight w:val="-45"/>
              <w:marTop w:val="0"/>
              <w:marBottom w:val="0"/>
              <w:divBdr>
                <w:top w:val="none" w:sz="0" w:space="0" w:color="auto"/>
                <w:left w:val="none" w:sz="0" w:space="0" w:color="auto"/>
                <w:bottom w:val="none" w:sz="0" w:space="0" w:color="auto"/>
                <w:right w:val="none" w:sz="0" w:space="0" w:color="auto"/>
              </w:divBdr>
            </w:div>
            <w:div w:id="1455372003">
              <w:marLeft w:val="0"/>
              <w:marRight w:val="-45"/>
              <w:marTop w:val="0"/>
              <w:marBottom w:val="0"/>
              <w:divBdr>
                <w:top w:val="none" w:sz="0" w:space="0" w:color="auto"/>
                <w:left w:val="none" w:sz="0" w:space="0" w:color="auto"/>
                <w:bottom w:val="none" w:sz="0" w:space="0" w:color="auto"/>
                <w:right w:val="none" w:sz="0" w:space="0" w:color="auto"/>
              </w:divBdr>
            </w:div>
            <w:div w:id="1025980837">
              <w:marLeft w:val="0"/>
              <w:marRight w:val="-45"/>
              <w:marTop w:val="0"/>
              <w:marBottom w:val="0"/>
              <w:divBdr>
                <w:top w:val="none" w:sz="0" w:space="0" w:color="auto"/>
                <w:left w:val="none" w:sz="0" w:space="0" w:color="auto"/>
                <w:bottom w:val="none" w:sz="0" w:space="0" w:color="auto"/>
                <w:right w:val="none" w:sz="0" w:space="0" w:color="auto"/>
              </w:divBdr>
            </w:div>
            <w:div w:id="202967861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550725001">
      <w:bodyDiv w:val="1"/>
      <w:marLeft w:val="0"/>
      <w:marRight w:val="0"/>
      <w:marTop w:val="0"/>
      <w:marBottom w:val="0"/>
      <w:divBdr>
        <w:top w:val="none" w:sz="0" w:space="0" w:color="auto"/>
        <w:left w:val="none" w:sz="0" w:space="0" w:color="auto"/>
        <w:bottom w:val="none" w:sz="0" w:space="0" w:color="auto"/>
        <w:right w:val="none" w:sz="0" w:space="0" w:color="auto"/>
      </w:divBdr>
      <w:divsChild>
        <w:div w:id="1019114680">
          <w:marLeft w:val="0"/>
          <w:marRight w:val="-45"/>
          <w:marTop w:val="0"/>
          <w:marBottom w:val="0"/>
          <w:divBdr>
            <w:top w:val="none" w:sz="0" w:space="0" w:color="auto"/>
            <w:left w:val="none" w:sz="0" w:space="0" w:color="auto"/>
            <w:bottom w:val="none" w:sz="0" w:space="0" w:color="auto"/>
            <w:right w:val="none" w:sz="0" w:space="0" w:color="auto"/>
          </w:divBdr>
        </w:div>
        <w:div w:id="1933320734">
          <w:marLeft w:val="0"/>
          <w:marRight w:val="-45"/>
          <w:marTop w:val="0"/>
          <w:marBottom w:val="0"/>
          <w:divBdr>
            <w:top w:val="none" w:sz="0" w:space="0" w:color="auto"/>
            <w:left w:val="none" w:sz="0" w:space="0" w:color="auto"/>
            <w:bottom w:val="none" w:sz="0" w:space="0" w:color="auto"/>
            <w:right w:val="none" w:sz="0" w:space="0" w:color="auto"/>
          </w:divBdr>
        </w:div>
      </w:divsChild>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ebrewbooks.org/pdfpager.aspx?req=45389&amp;st=&amp;pgnum=8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150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40</cp:revision>
  <dcterms:created xsi:type="dcterms:W3CDTF">2015-10-27T16:45:00Z</dcterms:created>
  <dcterms:modified xsi:type="dcterms:W3CDTF">2015-10-27T19:47:00Z</dcterms:modified>
</cp:coreProperties>
</file>