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2DC5" w14:textId="77777777" w:rsidR="000005CB" w:rsidRPr="00AF6D7E" w:rsidRDefault="00BA2963" w:rsidP="00114827">
      <w:pPr>
        <w:pStyle w:val="Title"/>
        <w:rPr>
          <w:rtl/>
        </w:rPr>
      </w:pPr>
      <w:r>
        <w:rPr>
          <w:rFonts w:hint="cs"/>
          <w:rtl/>
        </w:rPr>
        <w:t>עזר לצבי</w:t>
      </w:r>
      <w:r w:rsidR="00527574">
        <w:rPr>
          <w:rFonts w:hint="cs"/>
          <w:rtl/>
        </w:rPr>
        <w:t xml:space="preserve"> </w:t>
      </w:r>
    </w:p>
    <w:p w14:paraId="0A23A4B4" w14:textId="081D9F26" w:rsidR="004F7B4A" w:rsidRDefault="002049AF" w:rsidP="004F7B4A">
      <w:pPr>
        <w:pStyle w:val="Subtitle"/>
        <w:rPr>
          <w:rtl/>
        </w:rPr>
      </w:pPr>
      <w:r>
        <w:rPr>
          <w:rFonts w:hint="cs"/>
          <w:rtl/>
        </w:rPr>
        <w:t>חזרה ד</w:t>
      </w:r>
      <w:r w:rsidR="004F7B4A">
        <w:rPr>
          <w:rFonts w:hint="cs"/>
          <w:rtl/>
        </w:rPr>
        <w:t>'</w:t>
      </w:r>
    </w:p>
    <w:p w14:paraId="14724178" w14:textId="77777777" w:rsidR="004F7B4A" w:rsidRDefault="004F7B4A" w:rsidP="004F7B4A">
      <w:pPr>
        <w:jc w:val="center"/>
        <w:rPr>
          <w:rtl/>
        </w:rPr>
      </w:pPr>
      <w:r>
        <w:rPr>
          <w:rFonts w:hint="cs"/>
          <w:rtl/>
        </w:rPr>
        <w:t>כדי שלא לבלבל את הקורא ממבול המקורות וריבוי העניינים</w:t>
      </w:r>
    </w:p>
    <w:p w14:paraId="7E465548" w14:textId="65F322A5" w:rsidR="004F7B4A" w:rsidRDefault="004F7B4A" w:rsidP="006D56E4">
      <w:pPr>
        <w:jc w:val="center"/>
        <w:rPr>
          <w:rtl/>
        </w:rPr>
      </w:pPr>
      <w:r>
        <w:rPr>
          <w:rFonts w:hint="cs"/>
          <w:rtl/>
        </w:rPr>
        <w:t xml:space="preserve">לא הבאנו אלא ממה שהוסיף רבנו </w:t>
      </w:r>
      <w:r w:rsidR="006D56E4">
        <w:rPr>
          <w:rFonts w:hint="cs"/>
          <w:rtl/>
        </w:rPr>
        <w:t>בשיעור הזה ו</w:t>
      </w:r>
      <w:r w:rsidR="007F59C9">
        <w:rPr>
          <w:rFonts w:hint="cs"/>
          <w:rtl/>
        </w:rPr>
        <w:t>ש</w:t>
      </w:r>
      <w:r w:rsidR="006D56E4">
        <w:rPr>
          <w:rFonts w:hint="cs"/>
          <w:rtl/>
        </w:rPr>
        <w:t>לא</w:t>
      </w:r>
    </w:p>
    <w:p w14:paraId="6B42B04D" w14:textId="30FA2D89" w:rsidR="004F7B4A" w:rsidRPr="004357F7" w:rsidRDefault="006D56E4" w:rsidP="004F7B4A">
      <w:pPr>
        <w:jc w:val="center"/>
        <w:rPr>
          <w:rtl/>
        </w:rPr>
      </w:pPr>
      <w:r>
        <w:rPr>
          <w:rFonts w:hint="cs"/>
          <w:rtl/>
        </w:rPr>
        <w:t xml:space="preserve">הוזכר </w:t>
      </w:r>
      <w:r w:rsidR="004F7B4A">
        <w:rPr>
          <w:rFonts w:hint="cs"/>
          <w:rtl/>
        </w:rPr>
        <w:t>כבר בשיעורים הקודמים</w:t>
      </w:r>
    </w:p>
    <w:p w14:paraId="556369C7" w14:textId="2D592682" w:rsidR="00B8351D" w:rsidRPr="00B8351D" w:rsidRDefault="00B8351D" w:rsidP="00486218">
      <w:pPr>
        <w:pStyle w:val="Heading2"/>
        <w:rPr>
          <w:rtl/>
        </w:rPr>
      </w:pPr>
      <w:r>
        <w:rPr>
          <w:rFonts w:hint="cs"/>
          <w:rtl/>
        </w:rPr>
        <w:t>ע' במקורות לשיעור ו'</w:t>
      </w:r>
      <w:r w:rsidR="00486218">
        <w:rPr>
          <w:rFonts w:hint="cs"/>
          <w:rtl/>
        </w:rPr>
        <w:t xml:space="preserve"> ז' ו</w:t>
      </w:r>
      <w:r>
        <w:rPr>
          <w:rFonts w:hint="cs"/>
          <w:rtl/>
        </w:rPr>
        <w:t>ח'</w:t>
      </w:r>
    </w:p>
    <w:p w14:paraId="787271A1" w14:textId="77777777" w:rsidR="004F7B4A" w:rsidRDefault="004F7B4A" w:rsidP="004F7B4A">
      <w:pPr>
        <w:rPr>
          <w:b/>
          <w:bCs/>
          <w:sz w:val="28"/>
          <w:szCs w:val="28"/>
          <w:u w:val="single"/>
          <w:rtl/>
        </w:rPr>
      </w:pPr>
      <w:r>
        <w:rPr>
          <w:rFonts w:hint="cs"/>
          <w:b/>
          <w:bCs/>
          <w:sz w:val="28"/>
          <w:szCs w:val="28"/>
          <w:u w:val="single"/>
          <w:rtl/>
        </w:rPr>
        <w:t xml:space="preserve">קרי וכתיב </w:t>
      </w:r>
      <w:r>
        <w:rPr>
          <w:b/>
          <w:bCs/>
          <w:sz w:val="28"/>
          <w:szCs w:val="28"/>
          <w:u w:val="single"/>
          <w:rtl/>
        </w:rPr>
        <w:t>–</w:t>
      </w:r>
      <w:r>
        <w:rPr>
          <w:rFonts w:hint="cs"/>
          <w:b/>
          <w:bCs/>
          <w:sz w:val="28"/>
          <w:szCs w:val="28"/>
          <w:u w:val="single"/>
          <w:rtl/>
        </w:rPr>
        <w:t xml:space="preserve"> יש אם למקרא או למסורה</w:t>
      </w:r>
    </w:p>
    <w:p w14:paraId="27DF7AF9" w14:textId="27D38979" w:rsidR="000426F0" w:rsidRDefault="000426F0" w:rsidP="00E16121">
      <w:pPr>
        <w:pStyle w:val="Heading3"/>
        <w:rPr>
          <w:rtl/>
        </w:rPr>
      </w:pPr>
      <w:r>
        <w:rPr>
          <w:rFonts w:hint="cs"/>
          <w:rtl/>
        </w:rPr>
        <w:t>חייב אדם לטהר עצמו ברגל</w:t>
      </w:r>
    </w:p>
    <w:p w14:paraId="4156A984" w14:textId="401AC14B" w:rsidR="004F4D60" w:rsidRDefault="004F4D60" w:rsidP="00571126">
      <w:pPr>
        <w:pStyle w:val="Heading2"/>
      </w:pPr>
      <w:r>
        <w:rPr>
          <w:rtl/>
        </w:rPr>
        <w:t xml:space="preserve">שו"ת שאגת אריה (ישנות) סימן </w:t>
      </w:r>
      <w:r w:rsidR="0084084F">
        <w:rPr>
          <w:rFonts w:hint="cs"/>
          <w:rtl/>
        </w:rPr>
        <w:t>ס</w:t>
      </w:r>
      <w:r w:rsidR="00571126">
        <w:rPr>
          <w:rFonts w:hint="cs"/>
          <w:rtl/>
        </w:rPr>
        <w:t>ה</w:t>
      </w:r>
      <w:r w:rsidR="009F1E1E">
        <w:rPr>
          <w:rFonts w:hint="cs"/>
          <w:rtl/>
        </w:rPr>
        <w:t xml:space="preserve"> </w:t>
      </w:r>
      <w:r w:rsidR="009F1E1E">
        <w:rPr>
          <w:rtl/>
        </w:rPr>
        <w:t>–</w:t>
      </w:r>
      <w:r w:rsidR="009F1E1E">
        <w:rPr>
          <w:rFonts w:hint="cs"/>
          <w:rtl/>
        </w:rPr>
        <w:t xml:space="preserve"> </w:t>
      </w:r>
      <w:r>
        <w:rPr>
          <w:rtl/>
        </w:rPr>
        <w:t>סח</w:t>
      </w:r>
    </w:p>
    <w:p w14:paraId="76F8EA27" w14:textId="77777777" w:rsidR="00DC75EB" w:rsidRDefault="00DC75EB" w:rsidP="00DC75EB">
      <w:pPr>
        <w:rPr>
          <w:rtl/>
        </w:rPr>
      </w:pPr>
      <w:r w:rsidRPr="00DC75EB">
        <w:rPr>
          <w:rtl/>
        </w:rPr>
        <w:t>הרי נתברר דמצות שמחה נוהג מה"ת בזה"ז בכל מיני שמחות:</w:t>
      </w:r>
      <w:r>
        <w:rPr>
          <w:rFonts w:hint="cs"/>
        </w:rPr>
        <w:t xml:space="preserve"> </w:t>
      </w:r>
      <w:r>
        <w:rPr>
          <w:rFonts w:hint="cs"/>
          <w:rtl/>
        </w:rPr>
        <w:t>(סוף סימן סה)</w:t>
      </w:r>
    </w:p>
    <w:p w14:paraId="1D6A7466" w14:textId="414C9E08" w:rsidR="000A73E5" w:rsidRDefault="000A73E5" w:rsidP="00DC75EB">
      <w:pPr>
        <w:rPr>
          <w:rtl/>
        </w:rPr>
      </w:pPr>
      <w:r>
        <w:rPr>
          <w:rtl/>
        </w:rPr>
        <w:t>מ"מ נ"ל דמדרבנן מיהא נוהג מצות שמחה בליל י"ט א'</w:t>
      </w:r>
      <w:r>
        <w:rPr>
          <w:rFonts w:hint="cs"/>
          <w:rtl/>
        </w:rPr>
        <w:t xml:space="preserve">... </w:t>
      </w:r>
      <w:r>
        <w:rPr>
          <w:rtl/>
        </w:rPr>
        <w:t xml:space="preserve">השתא נקטינן מש"כ בסי' אלו דמ"ע זו של שמחת י"ט נוהג מה"ת אפי' בזה"ז וא' אנשים וא' נשים חייבין במצוה זו ואע"ג שאין לנו קרבן מ"מ איפשר לקיים בשאר מיני שמחות וה"מ כל ימים והלילות של י"ט אבל לילה א' של י"ט אין מצות שמחה נוהג בה מה"ת ומ"מ מדרבנן נוהג בה מצות שמחה ואגב אורחין למדנו דהא דחייב אדם לטהר את עצמו ברגל אינו נוהג בזה"ז וכמ"ש. </w:t>
      </w:r>
      <w:r w:rsidR="00DC75EB">
        <w:rPr>
          <w:rFonts w:hint="cs"/>
          <w:rtl/>
        </w:rPr>
        <w:t>(סוף סימן סח)</w:t>
      </w:r>
    </w:p>
    <w:p w14:paraId="794DB507" w14:textId="77777777" w:rsidR="000426F0" w:rsidRDefault="000426F0" w:rsidP="000426F0">
      <w:pPr>
        <w:pStyle w:val="Heading2"/>
        <w:rPr>
          <w:rtl/>
        </w:rPr>
      </w:pPr>
      <w:r>
        <w:rPr>
          <w:rFonts w:hint="cs"/>
          <w:rtl/>
        </w:rPr>
        <w:t>רא"ש יומא ח:כד</w:t>
      </w:r>
    </w:p>
    <w:p w14:paraId="0B49C33C" w14:textId="2E3C984A" w:rsidR="000426F0" w:rsidRPr="000426F0" w:rsidRDefault="000426F0" w:rsidP="000426F0">
      <w:r w:rsidRPr="00FA76C7">
        <w:rPr>
          <w:rtl/>
        </w:rPr>
        <w:t>ונהגו לטבול בערב יום הכפורים. ואמר רב עמרם טובל אדם בשבע שעות ומתפלל תפלת המנחה. ואמר רב סעדיה בעלייתו מלטבול מברך על הטבילה ואין דבריו נראין בזה שלא מצינו בהש"ס רמז לטבילה זו ואין לה יסוד נביאים ולא מנהג נביאים. ולא עדיפא מערבה (סוכה מד ב) דאמר ליה חביט חביט ולא בריך קסבר מנהג נביאים הוא. ואי משום דא"ר יצחק (ר"ה טז ב) חייב אדם לטהר עצמו ברגל היינו לטהר עצמו מכל טומאות ואפי' מטומאת מת ולהזות עליו שלישי ושביעי. והאידנא אין לנו טהרות וכיון שאין בעלי קריין טובלין כל השנה כולה גם אין חובה לטבילה זו ואין לברך עליה אלא שנהגו העולם לטהר עצמן מקרי לתפלת יום הכפורים. וסמכו אמדרש תנחומא בפרשת ואתחנן ביום הכפורים שהם נקיים כמלאכי השרת:</w:t>
      </w:r>
    </w:p>
    <w:p w14:paraId="1F8A5D38" w14:textId="6F3CEB31" w:rsidR="00E16121" w:rsidRDefault="00884FE2" w:rsidP="00884FE2">
      <w:pPr>
        <w:pStyle w:val="Heading3"/>
        <w:rPr>
          <w:rtl/>
        </w:rPr>
      </w:pPr>
      <w:r>
        <w:rPr>
          <w:rFonts w:hint="cs"/>
          <w:rtl/>
        </w:rPr>
        <w:t>יראה יראה</w:t>
      </w:r>
    </w:p>
    <w:p w14:paraId="6840892C" w14:textId="3E448A3F" w:rsidR="00F2196F" w:rsidRDefault="00F2196F" w:rsidP="00F2196F">
      <w:pPr>
        <w:pStyle w:val="Heading2"/>
        <w:rPr>
          <w:rtl/>
        </w:rPr>
      </w:pPr>
      <w:r>
        <w:rPr>
          <w:rFonts w:hint="cs"/>
          <w:rtl/>
        </w:rPr>
        <w:t>שיר השירים רבה ח:ב</w:t>
      </w:r>
    </w:p>
    <w:p w14:paraId="12608AC1" w14:textId="77777777" w:rsidR="00F2196F" w:rsidRDefault="00F2196F" w:rsidP="00427D60">
      <w:pPr>
        <w:pStyle w:val="Heading2"/>
        <w:rPr>
          <w:color w:val="auto"/>
          <w:sz w:val="22"/>
          <w:szCs w:val="22"/>
          <w:shd w:val="clear" w:color="auto" w:fill="auto"/>
          <w:rtl/>
        </w:rPr>
      </w:pPr>
      <w:r w:rsidRPr="00F2196F">
        <w:rPr>
          <w:color w:val="auto"/>
          <w:sz w:val="22"/>
          <w:szCs w:val="22"/>
          <w:shd w:val="clear" w:color="auto" w:fill="auto"/>
          <w:rtl/>
        </w:rPr>
        <w:t>א"ר לוי למלך שעשה סעודה וזימן האורחין, מהם אוכלין ושותין ומברכים למלך, ומהן אוכלין ושותין ומקללין למלך, הרגיש המלך ובקש להכניס בהם מהומה בסעודתו ולערבבה, נכנסה מטרונה ולימדה עליהם סניגוריא, אמרה לו אדוני המלך עד שאתה מביט באלו שאוכלין ושותין ומקללין אותך, הביט באלו שאוכלים ושותים ומברכים אותך ומשבחים לשמך, כך כשישראל אוכלים ושותים ומברכין ומשבחין ומקלסין להקב"ה מקשיב לקולם ומתרצה ובשעה שאומות העולם אוכלין ושותין ומחרפין ומנאצין להקב"ה בעריות שמזכירים, אותה שעה חושב הקב"ה אפילו להחריב לעולמו, והתורה נכנסה ומלמדת סניגוריא ואומרת רבונו של עולם עד שאתה מביט באלו שמחרפין ומכעיסים לפניך הביטה בישראל עמך שמברכים ומשבחים ומקלסים לשמך הגדול בתורה ובזמירות ובשבחות, ורוח הקדש צווחת, ברח דודי, ברח מאומות העולם והדבק בהם בישראל, ודמה לך לצבי, מה צבי זה בשעה שהוא ישן עינו אחת פתוחה ועינו אחת קמוצה, כך בשעה שישראל עושין רצונו של הקדוש ברוך הוא מביט אליהם בשתי עיניו הדא הוא דכתיב (תהלי' ל"ד) עיני ה' אל צדיקים ובשעה שאין עושים רצון הקב"ה מביט להם בעינו אחת שנא' (שם /תהלים/ ל"ג) הנה עין ה' אל יראיו, על הרי בשמים</w:t>
      </w:r>
    </w:p>
    <w:p w14:paraId="69F5C54A" w14:textId="1CB7C424" w:rsidR="00E16121" w:rsidRDefault="00427D60" w:rsidP="00F2196F">
      <w:pPr>
        <w:pStyle w:val="Heading2"/>
        <w:rPr>
          <w:rtl/>
        </w:rPr>
      </w:pPr>
      <w:r>
        <w:rPr>
          <w:rtl/>
        </w:rPr>
        <w:t>פרשת דרכים דרך ארוכה - דרוש חמישה ועשרים</w:t>
      </w:r>
      <w:r>
        <w:rPr>
          <w:rFonts w:hint="cs"/>
          <w:rtl/>
        </w:rPr>
        <w:t xml:space="preserve"> </w:t>
      </w:r>
      <w:r>
        <w:rPr>
          <w:rtl/>
        </w:rPr>
        <w:t>–</w:t>
      </w:r>
      <w:r>
        <w:rPr>
          <w:rFonts w:hint="cs"/>
          <w:rtl/>
        </w:rPr>
        <w:t xml:space="preserve"> בנים למקום</w:t>
      </w:r>
    </w:p>
    <w:p w14:paraId="2E50AE2C" w14:textId="1861BBF8" w:rsidR="003661E8" w:rsidRDefault="003661E8" w:rsidP="003661E8">
      <w:pPr>
        <w:pStyle w:val="Heading3"/>
        <w:rPr>
          <w:rtl/>
        </w:rPr>
      </w:pPr>
      <w:r>
        <w:rPr>
          <w:rFonts w:hint="cs"/>
          <w:rtl/>
        </w:rPr>
        <w:t>דם נבילה</w:t>
      </w:r>
    </w:p>
    <w:p w14:paraId="373571F6" w14:textId="027B1EC4" w:rsidR="003661E8" w:rsidRDefault="003661E8" w:rsidP="003661E8">
      <w:pPr>
        <w:pStyle w:val="Heading2"/>
        <w:rPr>
          <w:rtl/>
        </w:rPr>
      </w:pPr>
      <w:r>
        <w:rPr>
          <w:rFonts w:hint="cs"/>
          <w:rtl/>
        </w:rPr>
        <w:t>תורה תמימה במדבר יט:ה הערה לא</w:t>
      </w:r>
    </w:p>
    <w:p w14:paraId="18294650" w14:textId="6E0ADCFB" w:rsidR="003661E8" w:rsidRDefault="003661E8" w:rsidP="003661E8">
      <w:pPr>
        <w:rPr>
          <w:rtl/>
        </w:rPr>
      </w:pPr>
      <w:r w:rsidRPr="003661E8">
        <w:rPr>
          <w:rtl/>
        </w:rPr>
        <w:t>ודע דבספרי זוטא איתא ואת בשרה יכול פרט לדמה ת"ל ואת דמה, ומבואר מזה דדם אינו בכלל בשר, והתוס' בפסחים כ"ב א' ד"ה והרי חקרו בזה:</w:t>
      </w:r>
    </w:p>
    <w:p w14:paraId="5792F816" w14:textId="7E0FA589" w:rsidR="003661E8" w:rsidRDefault="00800206" w:rsidP="00800206">
      <w:pPr>
        <w:pStyle w:val="Heading2"/>
        <w:rPr>
          <w:rtl/>
        </w:rPr>
      </w:pPr>
      <w:r>
        <w:rPr>
          <w:rFonts w:hint="cs"/>
          <w:rtl/>
        </w:rPr>
        <w:t>בית יוסף יורה דעה ק:ב</w:t>
      </w:r>
    </w:p>
    <w:p w14:paraId="12D12F48" w14:textId="68446D40" w:rsidR="00800206" w:rsidRDefault="00800206" w:rsidP="00800206">
      <w:pPr>
        <w:rPr>
          <w:rtl/>
        </w:rPr>
      </w:pPr>
      <w:r w:rsidRPr="00800206">
        <w:rPr>
          <w:rtl/>
        </w:rPr>
        <w:t xml:space="preserve">  ומ"ש אבל שומנו אסור מדרבנן וצריך ס' כנגדו להתיר הרוטב. כן פירש רש"י (שם) אהא דאסיקנא הלכתא אין בגידין בנ"ט וכ"כ הרי"ף (לד.) והרא"ש (סי' לב) והר"ן שם (לד ריש ע"ב) וכ"פ הרמב"ם בפט"ו מהמ"א (הי"ז) וכן העלה הרשב"א בתורת הבית (הארוך ב"ד ש"א יח.) דשומן הגיד וקנוקנות שבו הרכים אוסרים בנ"ט ושלא כדברי הר"מ שכתבו התוספות בפג"ה (צז. ד"ה שאני חלב) דשומן גיד נמי אינו אוסר בנ"ט כשם שאין הגיד אוסר:</w:t>
      </w:r>
    </w:p>
    <w:p w14:paraId="6A81704A" w14:textId="573056AD" w:rsidR="002D2E49" w:rsidRDefault="002D2E49" w:rsidP="002D2E49">
      <w:pPr>
        <w:pStyle w:val="Heading3"/>
        <w:rPr>
          <w:rtl/>
        </w:rPr>
      </w:pPr>
      <w:r>
        <w:rPr>
          <w:rFonts w:hint="cs"/>
          <w:rtl/>
        </w:rPr>
        <w:t>רביעית דם</w:t>
      </w:r>
    </w:p>
    <w:p w14:paraId="2FE09E94" w14:textId="7FEC0758" w:rsidR="002D2E49" w:rsidRDefault="002D2E49" w:rsidP="002D2E49">
      <w:pPr>
        <w:pStyle w:val="Heading2"/>
        <w:rPr>
          <w:rtl/>
        </w:rPr>
      </w:pPr>
      <w:r>
        <w:rPr>
          <w:rtl/>
        </w:rPr>
        <w:t xml:space="preserve">משנה למלך הלכות אבל </w:t>
      </w:r>
      <w:r w:rsidR="007D2738">
        <w:rPr>
          <w:rFonts w:hint="cs"/>
          <w:rtl/>
        </w:rPr>
        <w:t>ג</w:t>
      </w:r>
      <w:r w:rsidR="00D54569">
        <w:rPr>
          <w:rFonts w:hint="cs"/>
          <w:rtl/>
        </w:rPr>
        <w:t xml:space="preserve">:א </w:t>
      </w:r>
      <w:r w:rsidR="007D2738">
        <w:rPr>
          <w:rFonts w:hint="cs"/>
          <w:rtl/>
        </w:rPr>
        <w:t>ו</w:t>
      </w:r>
      <w:r w:rsidR="00D54569">
        <w:rPr>
          <w:rFonts w:hint="cs"/>
          <w:rtl/>
        </w:rPr>
        <w:t xml:space="preserve">ע"ע </w:t>
      </w:r>
      <w:r>
        <w:rPr>
          <w:rFonts w:hint="cs"/>
          <w:rtl/>
        </w:rPr>
        <w:t xml:space="preserve">יד:כא </w:t>
      </w:r>
      <w:r>
        <w:rPr>
          <w:rtl/>
        </w:rPr>
        <w:t>–</w:t>
      </w:r>
      <w:r>
        <w:rPr>
          <w:rFonts w:hint="cs"/>
          <w:rtl/>
        </w:rPr>
        <w:t xml:space="preserve"> </w:t>
      </w:r>
      <w:r>
        <w:t>Mummies</w:t>
      </w:r>
    </w:p>
    <w:p w14:paraId="2E0D20C0" w14:textId="36C6A2E2" w:rsidR="007D2738" w:rsidRDefault="007D2738" w:rsidP="00D54569">
      <w:pPr>
        <w:rPr>
          <w:rtl/>
        </w:rPr>
      </w:pPr>
      <w:r w:rsidRPr="007D2738">
        <w:rPr>
          <w:rtl/>
        </w:rPr>
        <w:t>נשאלתי על המומיי"א שמוכרין הכהנים אי שפיר למיעבד או לא. (א"ה עיין בספר גנת ורדים חי"ד כלל א' סימן ד'. והנה לפי מה ששמעתי מומי"א הלזו אין בה בשר כלל אלא עצמות ועור החופה אותם והם יבשים מאד ולא נשאר בהם לחלוחית של בשר כלל ושאלתי אם היו עצמות אלו נפרכים מאליהם או לא ואמרו לי שאינם נפרכים ובקושי הם משתברים ולפי זה נראה דאין כאן מקום לספק כלל דפשיטא דמטמא במגע ובמשא דהא קי"ל דעצם כשעורה מט</w:t>
      </w:r>
      <w:r>
        <w:rPr>
          <w:rtl/>
        </w:rPr>
        <w:t>מא במגע ובמשא וטומאתו מדין תורה</w:t>
      </w:r>
      <w:r>
        <w:rPr>
          <w:rFonts w:hint="cs"/>
          <w:rtl/>
        </w:rPr>
        <w:t>...</w:t>
      </w:r>
      <w:r w:rsidRPr="007D2738">
        <w:rPr>
          <w:rtl/>
        </w:rPr>
        <w:t xml:space="preserve"> ואף שיש להסתפק ולומר דמומי"א זו מעכו"ם נינהו ומלבד דכיון דרובא דעלמא עכו"ם נינהו איכא למימר דניזל בתר רובא זאת ועוד כי הגד הוגד לי שבמקומות אלו שנעשית המומי"א מעולם לא עבר שם רגל ישראל ולפי זה היה נראה להקל דהא קי"ל דעכו"ם אינם מטמאים, הא ליתא דלא אימעיטו עכו"ם אלא מטומאת אהל דכתיב אדם כי ימות ואמרינן אתם קרויין אדם ואין העכו"ם קרויים אדם ובטומאת אהל משתעי קרא אבל במגע ובמשא הם מטמאים וכדאיתא בהדיא בפרק הבא על יבמתו (דף ס"א א) ו</w:t>
      </w:r>
      <w:r w:rsidR="001A5E67">
        <w:rPr>
          <w:rtl/>
        </w:rPr>
        <w:t>כן פסק רבינו בפ"ג מהל' טומאת מת</w:t>
      </w:r>
      <w:r w:rsidR="001A5E67">
        <w:rPr>
          <w:rFonts w:hint="cs"/>
          <w:rtl/>
        </w:rPr>
        <w:t>...</w:t>
      </w:r>
    </w:p>
    <w:p w14:paraId="55C6EE0B" w14:textId="3677D402" w:rsidR="007D2738" w:rsidRPr="007D2738" w:rsidRDefault="007D2738" w:rsidP="007D2738">
      <w:pPr>
        <w:rPr>
          <w:rtl/>
        </w:rPr>
      </w:pPr>
      <w:r>
        <w:rPr>
          <w:rFonts w:hint="cs"/>
          <w:rtl/>
        </w:rPr>
        <w:t>...</w:t>
      </w:r>
      <w:r w:rsidRPr="007D2738">
        <w:rPr>
          <w:rtl/>
        </w:rPr>
        <w:t>וכיון שכן פשיטא דאין לעשות ס"ס משתי סברות הללו דלכל חדא וחדא חלוקים הם עליהם כל חכמי ישראל. הכלל העולה דלדידן פשיטא לן מלתא דאסור ליגע במומי"א הלזו וכל כהן המחמיר עליו תבא ברכת טוב. (א"ה לענין איסור הנאה אי שייך במומי"א יתבאר לקמן בדברי הרב המחבר פי"ד מהלכות אלו הלכה כ"א ואי שרי לעשות סחורה במומי"א נתבאר פ"ח מהל' מאכלות אסורות הלכה ח"י יע"ש)</w:t>
      </w:r>
    </w:p>
    <w:p w14:paraId="57881399" w14:textId="50167B84" w:rsidR="002D2E49" w:rsidRDefault="00DD25CD" w:rsidP="00DD25CD">
      <w:pPr>
        <w:pStyle w:val="Heading3"/>
        <w:rPr>
          <w:rtl/>
        </w:rPr>
      </w:pPr>
      <w:r>
        <w:rPr>
          <w:rFonts w:hint="cs"/>
          <w:rtl/>
        </w:rPr>
        <w:t>מומחה לרבים</w:t>
      </w:r>
    </w:p>
    <w:p w14:paraId="38EAF677" w14:textId="0C72DA29" w:rsidR="00DD25CD" w:rsidRDefault="00DD25CD" w:rsidP="00DD25CD">
      <w:pPr>
        <w:pStyle w:val="Heading2"/>
        <w:rPr>
          <w:rtl/>
        </w:rPr>
      </w:pPr>
      <w:r>
        <w:rPr>
          <w:rFonts w:hint="cs"/>
          <w:rtl/>
        </w:rPr>
        <w:t>שלחן ערוך חושן משפט מו:ד</w:t>
      </w:r>
    </w:p>
    <w:p w14:paraId="6B3E4CD5" w14:textId="59AF72C4" w:rsidR="00DD25CD" w:rsidRDefault="004F0CF1" w:rsidP="004F0CF1">
      <w:pPr>
        <w:rPr>
          <w:sz w:val="18"/>
          <w:szCs w:val="18"/>
        </w:rPr>
      </w:pPr>
      <w:r w:rsidRPr="004F0CF1">
        <w:rPr>
          <w:rtl/>
        </w:rPr>
        <w:t>אין מקיימים שטרות אלא בשלשה, מפני שהוא דין; ולפיכך אין מקיימים שטרות בלילה.</w:t>
      </w:r>
      <w:r>
        <w:rPr>
          <w:rtl/>
        </w:rPr>
        <w:t xml:space="preserve"> </w:t>
      </w:r>
      <w:r w:rsidRPr="004F0CF1">
        <w:rPr>
          <w:sz w:val="18"/>
          <w:szCs w:val="18"/>
          <w:rtl/>
        </w:rPr>
        <w:t>הגה: ואם קיימו</w:t>
      </w:r>
      <w:r w:rsidRPr="004F0CF1">
        <w:rPr>
          <w:sz w:val="18"/>
          <w:szCs w:val="18"/>
        </w:rPr>
        <w:t xml:space="preserve"> </w:t>
      </w:r>
      <w:r w:rsidRPr="004F0CF1">
        <w:rPr>
          <w:sz w:val="18"/>
          <w:szCs w:val="18"/>
          <w:rtl/>
        </w:rPr>
        <w:t>בשנים, לא הוי קיום. ויש מי שכתב מאחר שנהגו שהרב התופס ישיבה מקיים ביחידי, מנהג כזה מבטל הלכה (ת"ה סימן של"ב), וכן המנהג פשוט במדינות אלו. ונראה לי הטעם, דסבירא לן לענין</w:t>
      </w:r>
      <w:r w:rsidRPr="004F0CF1">
        <w:rPr>
          <w:sz w:val="18"/>
          <w:szCs w:val="18"/>
        </w:rPr>
        <w:t xml:space="preserve"> </w:t>
      </w:r>
      <w:r w:rsidR="00DD25CD" w:rsidRPr="004F0CF1">
        <w:rPr>
          <w:sz w:val="18"/>
          <w:szCs w:val="18"/>
          <w:rtl/>
        </w:rPr>
        <w:t>קיום שטרות דרבנן דיחיד מומחה דינו כג' הדיוטות ומיקרי ב"ד, כמו שנתבאר לעיל סימן ג' וכ"ה, ואע"ג דאין יחיד מומחה בזמן הזה, מ"מ לענין קיום שטרות דרבנן יש לסמוך עליו, כן נראה לי טעם המנהג.</w:t>
      </w:r>
    </w:p>
    <w:p w14:paraId="3579A896" w14:textId="77777777" w:rsidR="002D397D" w:rsidRPr="004F0CF1" w:rsidRDefault="002D397D" w:rsidP="004F0CF1">
      <w:pPr>
        <w:rPr>
          <w:rFonts w:hint="cs"/>
          <w:sz w:val="18"/>
          <w:szCs w:val="18"/>
        </w:rPr>
      </w:pPr>
      <w:bookmarkStart w:id="0" w:name="_GoBack"/>
      <w:bookmarkEnd w:id="0"/>
    </w:p>
    <w:sectPr w:rsidR="002D397D" w:rsidRPr="004F0C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B13E" w14:textId="77777777" w:rsidR="004F7B4A" w:rsidRDefault="004F7B4A" w:rsidP="00AE281B">
      <w:r>
        <w:separator/>
      </w:r>
    </w:p>
  </w:endnote>
  <w:endnote w:type="continuationSeparator" w:id="0">
    <w:p w14:paraId="292BE853" w14:textId="77777777" w:rsidR="004F7B4A" w:rsidRDefault="004F7B4A"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EED0"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B144" w14:textId="77777777" w:rsidR="004F7B4A" w:rsidRDefault="004F7B4A" w:rsidP="00AE281B">
      <w:r>
        <w:separator/>
      </w:r>
    </w:p>
  </w:footnote>
  <w:footnote w:type="continuationSeparator" w:id="0">
    <w:p w14:paraId="4F14FAA5" w14:textId="77777777" w:rsidR="004F7B4A" w:rsidRDefault="004F7B4A"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71DE" w14:textId="530BE3FA" w:rsidR="000005CB" w:rsidRDefault="00BA2963" w:rsidP="002049AF">
    <w:pPr>
      <w:pStyle w:val="Header"/>
      <w:bidi w:val="0"/>
    </w:pPr>
    <w:r>
      <w:rPr>
        <w:rFonts w:hint="cs"/>
        <w:rtl/>
      </w:rPr>
      <w:t xml:space="preserve">שיעור </w:t>
    </w:r>
    <w:r w:rsidR="002049AF">
      <w:rPr>
        <w:rFonts w:hint="cs"/>
        <w:rtl/>
      </w:rPr>
      <w:t>כ"ד</w:t>
    </w:r>
    <w:r>
      <w:rPr>
        <w:rFonts w:hint="cs"/>
        <w:rtl/>
      </w:rPr>
      <w:t xml:space="preserve"> -</w:t>
    </w:r>
    <w:r w:rsidR="00527574">
      <w:rPr>
        <w:rFonts w:hint="cs"/>
        <w:rtl/>
      </w:rPr>
      <w:t xml:space="preserve"> מס' </w:t>
    </w:r>
    <w:r w:rsidR="00114827">
      <w:rPr>
        <w:rFonts w:hint="cs"/>
        <w:rtl/>
      </w:rPr>
      <w:t>סנהדרין</w:t>
    </w:r>
    <w:r w:rsidR="000005CB">
      <w:rPr>
        <w:rtl/>
      </w:rPr>
      <w:tab/>
    </w:r>
    <w:r w:rsidR="002049AF" w:rsidRPr="002049AF">
      <w:rPr>
        <w:rtl/>
      </w:rPr>
      <w:t>‏י"ג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4A"/>
    <w:rsid w:val="000005CB"/>
    <w:rsid w:val="000426F0"/>
    <w:rsid w:val="000A73E5"/>
    <w:rsid w:val="00114827"/>
    <w:rsid w:val="0012487B"/>
    <w:rsid w:val="00125C0B"/>
    <w:rsid w:val="001A5E67"/>
    <w:rsid w:val="002049AF"/>
    <w:rsid w:val="002B5A91"/>
    <w:rsid w:val="002C0CEB"/>
    <w:rsid w:val="002D2E49"/>
    <w:rsid w:val="002D397D"/>
    <w:rsid w:val="003661E8"/>
    <w:rsid w:val="00427D60"/>
    <w:rsid w:val="00486218"/>
    <w:rsid w:val="004F0CF1"/>
    <w:rsid w:val="004F4D60"/>
    <w:rsid w:val="004F7B4A"/>
    <w:rsid w:val="00527574"/>
    <w:rsid w:val="00571126"/>
    <w:rsid w:val="005F54E7"/>
    <w:rsid w:val="006D56E4"/>
    <w:rsid w:val="00717AD4"/>
    <w:rsid w:val="00785A65"/>
    <w:rsid w:val="007A4624"/>
    <w:rsid w:val="007B39A4"/>
    <w:rsid w:val="007D2738"/>
    <w:rsid w:val="007F59C9"/>
    <w:rsid w:val="00800206"/>
    <w:rsid w:val="0084084F"/>
    <w:rsid w:val="00884FE2"/>
    <w:rsid w:val="008F2FC0"/>
    <w:rsid w:val="00956A5D"/>
    <w:rsid w:val="00994F6A"/>
    <w:rsid w:val="00995396"/>
    <w:rsid w:val="009E247D"/>
    <w:rsid w:val="009F1E1E"/>
    <w:rsid w:val="00AA15F1"/>
    <w:rsid w:val="00AD7DB9"/>
    <w:rsid w:val="00AE281B"/>
    <w:rsid w:val="00AF6D7E"/>
    <w:rsid w:val="00B27BAF"/>
    <w:rsid w:val="00B8351D"/>
    <w:rsid w:val="00B97B87"/>
    <w:rsid w:val="00BA2963"/>
    <w:rsid w:val="00BC2476"/>
    <w:rsid w:val="00C227FC"/>
    <w:rsid w:val="00C402D8"/>
    <w:rsid w:val="00D40A69"/>
    <w:rsid w:val="00D54569"/>
    <w:rsid w:val="00DC75EB"/>
    <w:rsid w:val="00DD25CD"/>
    <w:rsid w:val="00E16121"/>
    <w:rsid w:val="00EC44AA"/>
    <w:rsid w:val="00EC7C87"/>
    <w:rsid w:val="00F2196F"/>
    <w:rsid w:val="00F25903"/>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86A"/>
  <w15:chartTrackingRefBased/>
  <w15:docId w15:val="{D333FA1C-9F2B-4D5B-B80A-6027A76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4A"/>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23976004">
      <w:bodyDiv w:val="1"/>
      <w:marLeft w:val="0"/>
      <w:marRight w:val="0"/>
      <w:marTop w:val="0"/>
      <w:marBottom w:val="0"/>
      <w:divBdr>
        <w:top w:val="none" w:sz="0" w:space="0" w:color="auto"/>
        <w:left w:val="none" w:sz="0" w:space="0" w:color="auto"/>
        <w:bottom w:val="none" w:sz="0" w:space="0" w:color="auto"/>
        <w:right w:val="none" w:sz="0" w:space="0" w:color="auto"/>
      </w:divBdr>
      <w:divsChild>
        <w:div w:id="1529678604">
          <w:marLeft w:val="0"/>
          <w:marRight w:val="-45"/>
          <w:marTop w:val="0"/>
          <w:marBottom w:val="0"/>
          <w:divBdr>
            <w:top w:val="none" w:sz="0" w:space="0" w:color="auto"/>
            <w:left w:val="none" w:sz="0" w:space="0" w:color="auto"/>
            <w:bottom w:val="none" w:sz="0" w:space="0" w:color="auto"/>
            <w:right w:val="none" w:sz="0" w:space="0" w:color="auto"/>
          </w:divBdr>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58</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32</cp:revision>
  <dcterms:created xsi:type="dcterms:W3CDTF">2015-10-26T16:51:00Z</dcterms:created>
  <dcterms:modified xsi:type="dcterms:W3CDTF">2015-10-26T18:17:00Z</dcterms:modified>
</cp:coreProperties>
</file>