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5B0" w14:textId="77777777" w:rsidR="000005CB" w:rsidRPr="00AF6D7E" w:rsidRDefault="00BA2963" w:rsidP="00114827">
      <w:pPr>
        <w:pStyle w:val="Title"/>
        <w:rPr>
          <w:rtl/>
        </w:rPr>
      </w:pPr>
      <w:r>
        <w:rPr>
          <w:rFonts w:hint="cs"/>
          <w:rtl/>
        </w:rPr>
        <w:t>עזר לצבי</w:t>
      </w:r>
      <w:r w:rsidR="00527574">
        <w:rPr>
          <w:rFonts w:hint="cs"/>
          <w:rtl/>
        </w:rPr>
        <w:t xml:space="preserve"> </w:t>
      </w:r>
    </w:p>
    <w:p w14:paraId="154D6904" w14:textId="48DCE3AF" w:rsidR="00EC7C87" w:rsidRDefault="00242A4B" w:rsidP="008F2FC0">
      <w:pPr>
        <w:pStyle w:val="Subtitle"/>
        <w:rPr>
          <w:rtl/>
        </w:rPr>
      </w:pPr>
      <w:r>
        <w:rPr>
          <w:rFonts w:hint="cs"/>
          <w:rtl/>
        </w:rPr>
        <w:t>מצוה הבאה בעבירה ופשרה</w:t>
      </w:r>
    </w:p>
    <w:p w14:paraId="49BC8EAC" w14:textId="2BECE908" w:rsidR="00242A4B" w:rsidRDefault="00242A4B" w:rsidP="00242A4B">
      <w:pPr>
        <w:pStyle w:val="Heading3"/>
        <w:rPr>
          <w:rtl/>
        </w:rPr>
      </w:pPr>
      <w:r>
        <w:rPr>
          <w:rFonts w:hint="cs"/>
          <w:rtl/>
        </w:rPr>
        <w:t>מחילה אינה צריכה קנין</w:t>
      </w:r>
    </w:p>
    <w:p w14:paraId="55C27D64" w14:textId="77777777" w:rsidR="00BA2963" w:rsidRDefault="00527574" w:rsidP="00182BC1">
      <w:pPr>
        <w:pStyle w:val="Heading2"/>
        <w:rPr>
          <w:rtl/>
        </w:rPr>
      </w:pPr>
      <w:r w:rsidRPr="00BA2963">
        <w:rPr>
          <w:rFonts w:hint="cs"/>
          <w:rtl/>
        </w:rPr>
        <w:t>תוספות</w:t>
      </w:r>
      <w:r w:rsidR="00182BC1">
        <w:rPr>
          <w:rFonts w:hint="cs"/>
          <w:rtl/>
        </w:rPr>
        <w:t xml:space="preserve"> ו. ד"ה אינה צריכה קנין</w:t>
      </w:r>
    </w:p>
    <w:p w14:paraId="21515559" w14:textId="77777777" w:rsidR="00182BC1" w:rsidRDefault="00182BC1" w:rsidP="00182BC1">
      <w:pPr>
        <w:pStyle w:val="Heading2"/>
        <w:rPr>
          <w:rtl/>
        </w:rPr>
      </w:pPr>
      <w:r>
        <w:rPr>
          <w:rFonts w:hint="cs"/>
          <w:rtl/>
        </w:rPr>
        <w:t>מהר"ם לובלין שם</w:t>
      </w:r>
    </w:p>
    <w:p w14:paraId="48440003" w14:textId="77777777" w:rsidR="00182BC1" w:rsidRDefault="00182BC1" w:rsidP="00182BC1">
      <w:r w:rsidRPr="00182BC1">
        <w:rPr>
          <w:rtl/>
        </w:rPr>
        <w:t>בא"ד ומבכור שנטל חלק כפשוט וכו' אין לדקדק נמי כלל רוצה לומר דהתם היינו טעמא דויתר ונמחל אפילו בלא קנין משום דעדיין לא הגיעה החלק בכורה לידו ולא זכה בו עדיין ומקרא דכתיב לתת לו ילפינן שם בבא בתרא פ' יש נוחלין דף קכ"ד דאם אמר הבכור איני נוטל ואיני נותן רשאי דמתנה קרייה רחמנא ואין להכריח לאדם שיקבל מתנה בעל כרחו וכיון שעדיין לא הגיע לידו יכול למחלה לאחיו אפילו בלא קנין אבל דבר שכבר נקנה והגיע ליד האדם אינו יכול לסלק עצמו ממנו ולמחול באמירה בעלמא אם לא בקנין כמו חלק פשיטות אין יכול למחול באמירה בעלמא כמבואר שם ועיין בפרק יש נוחלין דף קכ"ד ובתוס' שם ד"ה ואם אמר איני נוטל וכו' ובדף קכ"ו במימרא דבכור שנטל חלק כפשוט ויתר וכו':</w:t>
      </w:r>
    </w:p>
    <w:p w14:paraId="3AB4A6BB" w14:textId="47BC926E" w:rsidR="00242A4B" w:rsidRDefault="00242A4B" w:rsidP="00242A4B">
      <w:pPr>
        <w:pStyle w:val="Heading3"/>
        <w:rPr>
          <w:rtl/>
        </w:rPr>
      </w:pPr>
      <w:r>
        <w:rPr>
          <w:rFonts w:hint="cs"/>
          <w:rtl/>
        </w:rPr>
        <w:t>מצוה הבאה בעבירה</w:t>
      </w:r>
    </w:p>
    <w:p w14:paraId="15BB1314" w14:textId="45D024ED" w:rsidR="00DB6AD3" w:rsidRDefault="00DB6AD3" w:rsidP="00442AA0">
      <w:pPr>
        <w:pStyle w:val="Heading2"/>
        <w:rPr>
          <w:rtl/>
        </w:rPr>
      </w:pPr>
      <w:r>
        <w:rPr>
          <w:rtl/>
        </w:rPr>
        <w:t>שולחן ערוך חושן משפט יב</w:t>
      </w:r>
      <w:r>
        <w:rPr>
          <w:rFonts w:hint="cs"/>
          <w:rtl/>
        </w:rPr>
        <w:t>:ב</w:t>
      </w:r>
    </w:p>
    <w:p w14:paraId="30EC3307" w14:textId="09F3295D" w:rsidR="00BA2963" w:rsidRDefault="00DB6AD3" w:rsidP="00442AA0">
      <w:pPr>
        <w:rPr>
          <w:shd w:val="clear" w:color="auto" w:fill="FFFFFF"/>
          <w:rtl/>
        </w:rPr>
      </w:pPr>
      <w:r>
        <w:rPr>
          <w:rFonts w:hint="cs"/>
          <w:shd w:val="clear" w:color="auto" w:fill="FFFFFF"/>
          <w:rtl/>
        </w:rPr>
        <w:t xml:space="preserve">הג"ה: </w:t>
      </w:r>
      <w:r w:rsidRPr="00DB6AD3">
        <w:rPr>
          <w:shd w:val="clear" w:color="auto" w:fill="FFFFFF"/>
          <w:rtl/>
        </w:rPr>
        <w:t>ואין בית דין יכולין לכוף ליכנס לפנים משורת הדין, אף על פי שנראה להם שהוא מן הראוי) (ב"י בשם ר"י ובשם הרא"ש). ויש חולקים (מרדכי פ' ב' דמציעא).</w:t>
      </w:r>
    </w:p>
    <w:p w14:paraId="16F68258" w14:textId="15373045" w:rsidR="00442AA0" w:rsidRDefault="00442AA0" w:rsidP="00442AA0">
      <w:pPr>
        <w:pStyle w:val="Heading2"/>
        <w:rPr>
          <w:rtl/>
        </w:rPr>
      </w:pPr>
      <w:r>
        <w:rPr>
          <w:rFonts w:hint="cs"/>
          <w:rtl/>
        </w:rPr>
        <w:t>בבא קמא צא</w:t>
      </w:r>
    </w:p>
    <w:p w14:paraId="5D7E6963" w14:textId="77777777" w:rsidR="00135908" w:rsidRDefault="00135908" w:rsidP="00135908">
      <w:pPr>
        <w:pStyle w:val="Heading2"/>
        <w:rPr>
          <w:rtl/>
        </w:rPr>
      </w:pPr>
      <w:r>
        <w:rPr>
          <w:rFonts w:hint="cs"/>
          <w:rtl/>
        </w:rPr>
        <w:t xml:space="preserve">תוספות סוכה ג. ד"ה </w:t>
      </w:r>
      <w:r w:rsidRPr="00135908">
        <w:rPr>
          <w:rtl/>
        </w:rPr>
        <w:t xml:space="preserve">דאמר לך </w:t>
      </w:r>
    </w:p>
    <w:p w14:paraId="10EE71A7" w14:textId="4EFA72D2" w:rsidR="00135908" w:rsidRDefault="00135908" w:rsidP="00135908">
      <w:pPr>
        <w:rPr>
          <w:rtl/>
        </w:rPr>
      </w:pPr>
      <w:r w:rsidRPr="00135908">
        <w:rPr>
          <w:rtl/>
        </w:rPr>
        <w:t>בסדר רב עמרם פסק בששה מקומות הלכה כב"ש</w:t>
      </w:r>
      <w:r>
        <w:rPr>
          <w:rFonts w:hint="cs"/>
          <w:rtl/>
        </w:rPr>
        <w:t>...</w:t>
      </w:r>
    </w:p>
    <w:p w14:paraId="1386A0B7" w14:textId="1D1FE108" w:rsidR="00EB3D5C" w:rsidRDefault="00EB3D5C" w:rsidP="00C64EA1">
      <w:pPr>
        <w:pStyle w:val="Heading2"/>
        <w:rPr>
          <w:rtl/>
        </w:rPr>
      </w:pPr>
      <w:r>
        <w:rPr>
          <w:rFonts w:hint="cs"/>
          <w:rtl/>
        </w:rPr>
        <w:t>ריטב"א סוכה לא.</w:t>
      </w:r>
      <w:r>
        <w:rPr>
          <w:rStyle w:val="FootnoteReference"/>
          <w:rtl/>
        </w:rPr>
        <w:footnoteReference w:id="1"/>
      </w:r>
    </w:p>
    <w:p w14:paraId="405E0599" w14:textId="45A5627D" w:rsidR="00EB3D5C" w:rsidRPr="00EB3D5C" w:rsidRDefault="00EB3D5C" w:rsidP="00EB3D5C">
      <w:r w:rsidRPr="00EB3D5C">
        <w:rPr>
          <w:rtl/>
        </w:rPr>
        <w:t>תנו רבנן סוכה גזולה כו'. ואסיקנא דפליגי בשתקף את חברו והוציאו מסוכתו דרבי אליעזר סבר קרקע אינה נגזלת וסוכה שאולה היא ואין אדם יוצא בסוכה שאולה ורבנן סברי אדם יוצא בסוכה שאולה. והקשו בתוספות מ"מ כיון שתקפה מחברו הא איכא מצוה הבאה בעבירה, ותירצו דלא אמרינן מצוה הבאה בעבירה אלא בדבר שהוא בא לרצות כגון קרבן שופר ולולב וכיוצא בהם, אבל בסוכה שאין בה ריצוי ליכא משום מצוה הבאה בעבירה, ולא נראה דהא בירושלמי חששו למצה של טבל ולמצה גזולה משום מצוה הבאה בעבירה וכדכתיבנא התם, אבל הנכון דהכא כיון דלא קני לה כלל וברשותיה דמאריה איתא ואין המצוה מוציאתה מרשות בעליה לא חשיבא מצוה הבאה בעבירה, והרי הוא כאילו היתה שדה דעלמא גזולה ברשותו שאע"פ שעבירה בידו אין הסוכה נפסלת בכך, כנ"ל.</w:t>
      </w:r>
    </w:p>
    <w:p w14:paraId="42086761" w14:textId="32CF9993" w:rsidR="00446E1E" w:rsidRDefault="00446E1E" w:rsidP="00446E1E">
      <w:pPr>
        <w:pStyle w:val="Heading2"/>
        <w:rPr>
          <w:rtl/>
        </w:rPr>
      </w:pPr>
      <w:r>
        <w:rPr>
          <w:rFonts w:hint="cs"/>
          <w:rtl/>
        </w:rPr>
        <w:t>ראש השנה כו.</w:t>
      </w:r>
    </w:p>
    <w:p w14:paraId="62D2B063" w14:textId="03968420" w:rsidR="00446E1E" w:rsidRPr="00446E1E" w:rsidRDefault="00446E1E" w:rsidP="00446E1E">
      <w:pPr>
        <w:rPr>
          <w:rtl/>
        </w:rPr>
      </w:pPr>
      <w:r w:rsidRPr="00446E1E">
        <w:rPr>
          <w:rtl/>
        </w:rPr>
        <w:t>דאמר רב חסדא: מפני מה אין כהן גדול נכנס בבגדי זהב לפני ולפנים לעבוד עבודה - לפי שאין קטיגור נעשה סניגור</w:t>
      </w:r>
      <w:r>
        <w:rPr>
          <w:rFonts w:hint="cs"/>
          <w:rtl/>
        </w:rPr>
        <w:t>..</w:t>
      </w:r>
      <w:r w:rsidRPr="00446E1E">
        <w:rPr>
          <w:rtl/>
        </w:rPr>
        <w:t>.</w:t>
      </w:r>
    </w:p>
    <w:p w14:paraId="3A83CFA0" w14:textId="5772BC8B" w:rsidR="00D63724" w:rsidRDefault="00D63724" w:rsidP="00D63724">
      <w:pPr>
        <w:pStyle w:val="Heading2"/>
        <w:rPr>
          <w:rtl/>
        </w:rPr>
      </w:pPr>
      <w:r>
        <w:rPr>
          <w:rFonts w:hint="cs"/>
          <w:rtl/>
        </w:rPr>
        <w:t>רשב"א שבת קה:</w:t>
      </w:r>
    </w:p>
    <w:p w14:paraId="228467C7" w14:textId="06A07147" w:rsidR="00D63724" w:rsidRPr="00D63724" w:rsidRDefault="00D63724" w:rsidP="00D63724">
      <w:pPr>
        <w:rPr>
          <w:rtl/>
        </w:rPr>
      </w:pPr>
      <w:r w:rsidRPr="00D63724">
        <w:rPr>
          <w:rtl/>
        </w:rPr>
        <w:lastRenderedPageBreak/>
        <w:t>אמר רבי יוחנן בשם רבי שמעון בן יוצדק מצה גזולה אין אדם יוצא בה ידי חובתו בפסח, אמר לון תמן גופיה עבירה הכא הוא עבר עבירה, כך אנו אומרים הוציא מצה מרשות היחיד לרשות הרבים אינו יוצא בה ידי חובתו בפסח.</w:t>
      </w:r>
    </w:p>
    <w:p w14:paraId="2AA6558E" w14:textId="7067FCD8" w:rsidR="00D63724" w:rsidRDefault="00C64EA1" w:rsidP="00D63724">
      <w:pPr>
        <w:pStyle w:val="Heading2"/>
        <w:rPr>
          <w:rtl/>
        </w:rPr>
      </w:pPr>
      <w:r>
        <w:rPr>
          <w:rFonts w:hint="cs"/>
          <w:rtl/>
        </w:rPr>
        <w:t>ארץ הצבי עמ' כא ולח</w:t>
      </w:r>
    </w:p>
    <w:p w14:paraId="579A951A" w14:textId="2DAEFD14" w:rsidR="00612176" w:rsidRDefault="00612176" w:rsidP="00612176">
      <w:pPr>
        <w:pStyle w:val="Heading2"/>
        <w:rPr>
          <w:rtl/>
        </w:rPr>
      </w:pPr>
      <w:r>
        <w:rPr>
          <w:rFonts w:hint="cs"/>
          <w:rtl/>
        </w:rPr>
        <w:t>מנחת חינוך מצוה שכה ד"ה יש</w:t>
      </w:r>
    </w:p>
    <w:p w14:paraId="0656094A" w14:textId="39EC10E1" w:rsidR="00612176" w:rsidRPr="00612176" w:rsidRDefault="00AC5A41" w:rsidP="00612176">
      <w:pPr>
        <w:rPr>
          <w:rtl/>
        </w:rPr>
      </w:pPr>
      <w:r>
        <w:rPr>
          <w:rFonts w:hint="cs"/>
          <w:rtl/>
        </w:rPr>
        <w:t>...</w:t>
      </w:r>
      <w:bookmarkStart w:id="0" w:name="_GoBack"/>
      <w:bookmarkEnd w:id="0"/>
      <w:r w:rsidR="00612176" w:rsidRPr="00612176">
        <w:rPr>
          <w:rtl/>
        </w:rPr>
        <w:t>והיאך יוצאים אנחנו מצות ד' מינים במדינה זו דערבה מצויה מאוד ובד או שני בדין ערבה אין ש"פ בשום אופן בכל מדינה זו וכל מין מד' מינים פסולים בשאול א"כ היאך אנו יוצאים י"ח במדינה זו ביום ראשון של חג בד"מ</w:t>
      </w:r>
      <w:r>
        <w:rPr>
          <w:rFonts w:hint="cs"/>
          <w:rtl/>
        </w:rPr>
        <w:t>...</w:t>
      </w:r>
    </w:p>
    <w:p w14:paraId="3BF6EA05" w14:textId="5534E0C7" w:rsidR="00401336" w:rsidRDefault="00401336" w:rsidP="00C0147E">
      <w:pPr>
        <w:pStyle w:val="Heading3"/>
        <w:rPr>
          <w:rtl/>
        </w:rPr>
      </w:pPr>
      <w:r>
        <w:rPr>
          <w:rFonts w:hint="cs"/>
          <w:rtl/>
        </w:rPr>
        <w:t>חלה</w:t>
      </w:r>
      <w:r w:rsidR="00C0147E">
        <w:rPr>
          <w:rFonts w:hint="cs"/>
          <w:rtl/>
        </w:rPr>
        <w:t xml:space="preserve"> ש</w:t>
      </w:r>
      <w:r>
        <w:rPr>
          <w:rFonts w:hint="cs"/>
          <w:rtl/>
        </w:rPr>
        <w:t>בליל</w:t>
      </w:r>
      <w:r w:rsidR="00C0147E">
        <w:rPr>
          <w:rFonts w:hint="cs"/>
          <w:rtl/>
        </w:rPr>
        <w:t>ת</w:t>
      </w:r>
      <w:r>
        <w:rPr>
          <w:rFonts w:hint="cs"/>
          <w:rtl/>
        </w:rPr>
        <w:t>ה רכה</w:t>
      </w:r>
    </w:p>
    <w:p w14:paraId="60D3A437" w14:textId="4A2CFA1C" w:rsidR="00D63724" w:rsidRDefault="00D63724" w:rsidP="00D63724">
      <w:pPr>
        <w:pStyle w:val="Heading2"/>
        <w:rPr>
          <w:rtl/>
        </w:rPr>
      </w:pPr>
      <w:r>
        <w:rPr>
          <w:rFonts w:hint="cs"/>
          <w:rtl/>
        </w:rPr>
        <w:t xml:space="preserve">תוספות ו: ד"ה </w:t>
      </w:r>
      <w:r w:rsidRPr="00D63724">
        <w:rPr>
          <w:rtl/>
        </w:rPr>
        <w:t>טחנה ואפאה</w:t>
      </w:r>
    </w:p>
    <w:p w14:paraId="038D18B2" w14:textId="494809E1" w:rsidR="00D63724" w:rsidRDefault="00446E1E" w:rsidP="00D63724">
      <w:pPr>
        <w:pStyle w:val="Heading2"/>
        <w:rPr>
          <w:rtl/>
        </w:rPr>
      </w:pPr>
      <w:r>
        <w:rPr>
          <w:rFonts w:hint="cs"/>
          <w:rtl/>
        </w:rPr>
        <w:t>כתובות כה.</w:t>
      </w:r>
    </w:p>
    <w:p w14:paraId="40F29F6C" w14:textId="67D0904D" w:rsidR="00446E1E" w:rsidRPr="00446E1E" w:rsidRDefault="00446E1E" w:rsidP="00446E1E">
      <w:pPr>
        <w:rPr>
          <w:rtl/>
        </w:rPr>
      </w:pPr>
      <w:r w:rsidRPr="00446E1E">
        <w:rPr>
          <w:rtl/>
        </w:rPr>
        <w:t>אפילו למ"ד תרומה בזמן הזה דאורייתא, חלה דרבנן, דתניא: דבבואכם אל הארץ - אי בבואכם, יכול משנכנסו לה שנים ושלשה מרגלים? ת"ל: בבואכם - בביאת כולכם אמרתי, ולא בביאת מקצתכם, וכי אסקינהו עזרא,</w:t>
      </w:r>
      <w:r>
        <w:rPr>
          <w:rFonts w:hint="cs"/>
          <w:rtl/>
        </w:rPr>
        <w:t xml:space="preserve"> </w:t>
      </w:r>
      <w:r w:rsidRPr="00446E1E">
        <w:rPr>
          <w:rtl/>
        </w:rPr>
        <w:t>לאו כולהו סלוק.</w:t>
      </w:r>
    </w:p>
    <w:p w14:paraId="76AB5F4B" w14:textId="33FC878D" w:rsidR="00D63724" w:rsidRDefault="00D63724" w:rsidP="00D63724">
      <w:pPr>
        <w:pStyle w:val="Heading2"/>
        <w:rPr>
          <w:rFonts w:hint="cs"/>
          <w:rtl/>
        </w:rPr>
      </w:pPr>
      <w:r>
        <w:rPr>
          <w:rFonts w:hint="cs"/>
          <w:rtl/>
        </w:rPr>
        <w:t>בכורות כו</w:t>
      </w:r>
      <w:r w:rsidR="009B6675">
        <w:rPr>
          <w:rFonts w:hint="cs"/>
          <w:rtl/>
        </w:rPr>
        <w:t>: והלכות לרמב"ן שם</w:t>
      </w:r>
    </w:p>
    <w:p w14:paraId="4512E78C" w14:textId="7E22711C" w:rsidR="00446E1E" w:rsidRDefault="004D50C6" w:rsidP="004D50C6">
      <w:pPr>
        <w:pStyle w:val="Heading2"/>
        <w:rPr>
          <w:rtl/>
        </w:rPr>
      </w:pPr>
      <w:r>
        <w:rPr>
          <w:rFonts w:hint="cs"/>
          <w:rtl/>
        </w:rPr>
        <w:t>שלחן ערוך שכט:ג</w:t>
      </w:r>
    </w:p>
    <w:p w14:paraId="06C069B2" w14:textId="4F7CA27E" w:rsidR="004D50C6" w:rsidRPr="004D50C6" w:rsidRDefault="004D50C6" w:rsidP="004D50C6">
      <w:pPr>
        <w:rPr>
          <w:rtl/>
        </w:rPr>
      </w:pPr>
      <w:r w:rsidRPr="004D50C6">
        <w:rPr>
          <w:rtl/>
        </w:rPr>
        <w:t>עי</w:t>
      </w:r>
      <w:r>
        <w:rPr>
          <w:rtl/>
        </w:rPr>
        <w:t>סה שבלילתה עבה, וגלגלה על דעת</w:t>
      </w:r>
      <w:r w:rsidRPr="004D50C6">
        <w:rPr>
          <w:rtl/>
        </w:rPr>
        <w:t xml:space="preserve"> לבשלה או לטגנה או לעשותה סופגנין או ליבשה בחמה, ועשה כן, פטורה. גלגלה לעשות ממנה לחם, ונמלך לבשל</w:t>
      </w:r>
      <w:r>
        <w:rPr>
          <w:rtl/>
        </w:rPr>
        <w:t xml:space="preserve">ה או לטגנה או לעשותה סופגנין </w:t>
      </w:r>
      <w:r w:rsidRPr="004D50C6">
        <w:rPr>
          <w:rtl/>
        </w:rPr>
        <w:t>או ליבשה בחמה, חייבת, שכבר נתחייבה משעת גלגול. גלגלה על דעת סופגנין וכיוצא בהן, ונמלך לעשותה לחם, חייבת.</w:t>
      </w:r>
    </w:p>
    <w:p w14:paraId="0A5A2CCC" w14:textId="3F1D34DB" w:rsidR="004D50C6" w:rsidRDefault="004D50C6" w:rsidP="004D50C6">
      <w:pPr>
        <w:pStyle w:val="Heading2"/>
        <w:rPr>
          <w:rtl/>
        </w:rPr>
      </w:pPr>
      <w:r>
        <w:rPr>
          <w:rFonts w:hint="cs"/>
          <w:rtl/>
        </w:rPr>
        <w:t>ש"ך שם ס"ק ד</w:t>
      </w:r>
    </w:p>
    <w:p w14:paraId="5E817ED6" w14:textId="1BC2443C" w:rsidR="004D50C6" w:rsidRPr="004D50C6" w:rsidRDefault="004D50C6" w:rsidP="004D50C6">
      <w:pPr>
        <w:rPr>
          <w:rtl/>
        </w:rPr>
      </w:pPr>
      <w:r w:rsidRPr="004D50C6">
        <w:rPr>
          <w:rtl/>
        </w:rPr>
        <w:t>פטורה - דכיון דגלגלה ע"ד לבשלה לא חל עליה חובת חלה דבתר דעתו אזלינן מיהו הרבה פוסקים חולקים דהיכא דבלילתה עבה אפי' גלגלה ע"ד לבשלה חייבת בחלה דמיד נתחייבה משעת גלגול כדאיתא בב"י לכן יש להחמיר להפריש חלה בלא ברכה או לאפות מעט ממנה שע"י כן תתחייב כולה בחלה וכדבסעיף שאחר זה וכמו שכתב הרא"ש וטור ופוסקים בשם מהר"ם ע"ש:</w:t>
      </w:r>
    </w:p>
    <w:p w14:paraId="49CA0729" w14:textId="18E35DD3" w:rsidR="00446E1E" w:rsidRDefault="00446E1E" w:rsidP="00446E1E">
      <w:pPr>
        <w:pStyle w:val="Heading2"/>
        <w:rPr>
          <w:rtl/>
        </w:rPr>
      </w:pPr>
      <w:r>
        <w:rPr>
          <w:rFonts w:hint="cs"/>
          <w:rtl/>
        </w:rPr>
        <w:t>נפש הרב עמ' קלב</w:t>
      </w:r>
    </w:p>
    <w:p w14:paraId="68A00709" w14:textId="77777777" w:rsidR="00C0147E" w:rsidRPr="00C0147E" w:rsidRDefault="00C0147E" w:rsidP="00C0147E"/>
    <w:sectPr w:rsidR="00C0147E" w:rsidRPr="00C01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4F93" w14:textId="77777777" w:rsidR="00182BC1" w:rsidRDefault="00182BC1" w:rsidP="00AE281B">
      <w:r>
        <w:separator/>
      </w:r>
    </w:p>
  </w:endnote>
  <w:endnote w:type="continuationSeparator" w:id="0">
    <w:p w14:paraId="02D5DC01" w14:textId="77777777" w:rsidR="00182BC1" w:rsidRDefault="00182BC1"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5204"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699D" w14:textId="77777777" w:rsidR="00182BC1" w:rsidRDefault="00182BC1" w:rsidP="00AE281B">
      <w:r>
        <w:separator/>
      </w:r>
    </w:p>
  </w:footnote>
  <w:footnote w:type="continuationSeparator" w:id="0">
    <w:p w14:paraId="448FF44E" w14:textId="77777777" w:rsidR="00182BC1" w:rsidRDefault="00182BC1" w:rsidP="00AE281B">
      <w:r>
        <w:continuationSeparator/>
      </w:r>
    </w:p>
  </w:footnote>
  <w:footnote w:id="1">
    <w:p w14:paraId="2629E6E0" w14:textId="5293DBF9" w:rsidR="00EB3D5C" w:rsidRDefault="00EB3D5C" w:rsidP="00EB3D5C">
      <w:r>
        <w:rPr>
          <w:rStyle w:val="FootnoteReference"/>
        </w:rPr>
        <w:footnoteRef/>
      </w:r>
      <w:r>
        <w:rPr>
          <w:rtl/>
        </w:rPr>
        <w:t xml:space="preserve"> </w:t>
      </w:r>
      <w:r>
        <w:rPr>
          <w:rFonts w:hint="cs"/>
          <w:rtl/>
        </w:rPr>
        <w:t xml:space="preserve">ע"ע </w:t>
      </w:r>
      <w:r>
        <w:rPr>
          <w:rFonts w:hint="cs"/>
          <w:rtl/>
        </w:rPr>
        <w:t>ריטב"א סוכה כט:</w:t>
      </w:r>
      <w:r>
        <w:rPr>
          <w:rFonts w:hint="cs"/>
          <w:rtl/>
        </w:rPr>
        <w:t xml:space="preserve"> וז"ל </w:t>
      </w:r>
      <w:r w:rsidRPr="00B22461">
        <w:rPr>
          <w:rtl/>
        </w:rPr>
        <w:t>ואי משום מצוה הבאה בעבירה לא אמרו זה אלא כשהמצוה סייעה בעבירה שבקדושת המצוה הוא קונה אותו והוציאו מרשות נגזל, כגון שהיה יאוש כדי שאינו קונה וכשהקדישו למצותו הרי הוא כאלו מכרו דמה לי מכרו לגבוה מה לי מכרו להדיוט והוה ליה השתא על ידי המצוה יאוש ושינוי רשות שהוא קונה ולפיכך אינו לרצון לשם, אבל כל שאין המצוה מסייעת בקנין ואינה מוציאתו מרשות הנגזל אינו נפסל לקרבן ולא למצוה, שאע"פ שיש בידו של זה עבירה שגזלו, הרי זה כשאר עבירות שבידו או כאילו גזל חפץ אחר שאינו פוסלו ממצוה זו, ולפיכך כל שקנאו ביאוש ושינוי רשות או שינוי מעשה שאין לו לתת לנגזל אלא דמים אע"פ שלא פרע עדיין עבירה היא בידו כגזלן ומעכב חובו של חבירו אבל גוף הדבר נקנה לו לגמרי ואין בו מצוה הבאה בעבירה</w:t>
      </w:r>
    </w:p>
    <w:p w14:paraId="6B08A46E" w14:textId="1833F94B" w:rsidR="00EB3D5C" w:rsidRPr="00EB3D5C" w:rsidRDefault="00EB3D5C">
      <w:pPr>
        <w:pStyle w:val="FootnoteText"/>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1518" w14:textId="77777777" w:rsidR="000005CB" w:rsidRDefault="00182BC1" w:rsidP="00182BC1">
    <w:pPr>
      <w:pStyle w:val="Header"/>
      <w:bidi w:val="0"/>
    </w:pPr>
    <w:r>
      <w:rPr>
        <w:rFonts w:hint="cs"/>
        <w:rtl/>
      </w:rPr>
      <w:t>שיעור ט"ז</w:t>
    </w:r>
    <w:r w:rsidR="00BA2963">
      <w:rPr>
        <w:rFonts w:hint="cs"/>
        <w:rtl/>
      </w:rPr>
      <w:t xml:space="preserve"> -</w:t>
    </w:r>
    <w:r w:rsidR="00527574">
      <w:rPr>
        <w:rFonts w:hint="cs"/>
        <w:rtl/>
      </w:rPr>
      <w:t xml:space="preserve"> מס' </w:t>
    </w:r>
    <w:r w:rsidR="00114827">
      <w:rPr>
        <w:rFonts w:hint="cs"/>
        <w:rtl/>
      </w:rPr>
      <w:t>סנהדרין</w:t>
    </w:r>
    <w:r>
      <w:rPr>
        <w:rFonts w:hint="cs"/>
        <w:rtl/>
      </w:rPr>
      <w:t xml:space="preserve"> ו.-ו:</w:t>
    </w:r>
    <w:r w:rsidR="000005CB">
      <w:rPr>
        <w:rtl/>
      </w:rPr>
      <w:tab/>
    </w:r>
    <w:r w:rsidRPr="00182BC1">
      <w:rPr>
        <w:rtl/>
      </w:rPr>
      <w:t>כ"ט תשרי תשע"ו</w:t>
    </w:r>
    <w:r>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C1"/>
    <w:rsid w:val="000005CB"/>
    <w:rsid w:val="00114827"/>
    <w:rsid w:val="00125C0B"/>
    <w:rsid w:val="00135908"/>
    <w:rsid w:val="00182BC1"/>
    <w:rsid w:val="00242A4B"/>
    <w:rsid w:val="002B5A91"/>
    <w:rsid w:val="002C0CEB"/>
    <w:rsid w:val="00401336"/>
    <w:rsid w:val="00442AA0"/>
    <w:rsid w:val="00446E1E"/>
    <w:rsid w:val="004D50C6"/>
    <w:rsid w:val="00527574"/>
    <w:rsid w:val="005F54E7"/>
    <w:rsid w:val="00611D24"/>
    <w:rsid w:val="00612176"/>
    <w:rsid w:val="007A4624"/>
    <w:rsid w:val="008F2FC0"/>
    <w:rsid w:val="00956A5D"/>
    <w:rsid w:val="00995396"/>
    <w:rsid w:val="009B6675"/>
    <w:rsid w:val="009E247D"/>
    <w:rsid w:val="00AC5A41"/>
    <w:rsid w:val="00AE281B"/>
    <w:rsid w:val="00AF6D7E"/>
    <w:rsid w:val="00B22461"/>
    <w:rsid w:val="00B97B87"/>
    <w:rsid w:val="00BA2963"/>
    <w:rsid w:val="00BC2476"/>
    <w:rsid w:val="00C0147E"/>
    <w:rsid w:val="00C227FC"/>
    <w:rsid w:val="00C402D8"/>
    <w:rsid w:val="00C64EA1"/>
    <w:rsid w:val="00D40A69"/>
    <w:rsid w:val="00D63724"/>
    <w:rsid w:val="00DB6AD3"/>
    <w:rsid w:val="00EB3D5C"/>
    <w:rsid w:val="00EC7C87"/>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789B8"/>
  <w15:chartTrackingRefBased/>
  <w15:docId w15:val="{165BD025-FA50-4AA7-902C-406C472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EB3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D5C"/>
    <w:rPr>
      <w:rFonts w:ascii="Narkisim" w:hAnsi="Narkisim" w:cs="Narkisim"/>
      <w:sz w:val="20"/>
      <w:szCs w:val="20"/>
    </w:rPr>
  </w:style>
  <w:style w:type="character" w:styleId="FootnoteReference">
    <w:name w:val="footnote reference"/>
    <w:basedOn w:val="DefaultParagraphFont"/>
    <w:uiPriority w:val="99"/>
    <w:semiHidden/>
    <w:unhideWhenUsed/>
    <w:rsid w:val="00EB3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71203465">
      <w:bodyDiv w:val="1"/>
      <w:marLeft w:val="0"/>
      <w:marRight w:val="0"/>
      <w:marTop w:val="0"/>
      <w:marBottom w:val="0"/>
      <w:divBdr>
        <w:top w:val="none" w:sz="0" w:space="0" w:color="auto"/>
        <w:left w:val="none" w:sz="0" w:space="0" w:color="auto"/>
        <w:bottom w:val="none" w:sz="0" w:space="0" w:color="auto"/>
        <w:right w:val="none" w:sz="0" w:space="0" w:color="auto"/>
      </w:divBdr>
      <w:divsChild>
        <w:div w:id="2117671274">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66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13</cp:revision>
  <dcterms:created xsi:type="dcterms:W3CDTF">2015-10-12T17:17:00Z</dcterms:created>
  <dcterms:modified xsi:type="dcterms:W3CDTF">2015-10-12T18:23:00Z</dcterms:modified>
</cp:coreProperties>
</file>