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48ED3" w14:textId="77777777" w:rsidR="000005CB" w:rsidRPr="00AF6D7E" w:rsidRDefault="00BA2963" w:rsidP="00114827">
      <w:pPr>
        <w:pStyle w:val="Title"/>
        <w:rPr>
          <w:rtl/>
        </w:rPr>
      </w:pPr>
      <w:r>
        <w:rPr>
          <w:rFonts w:hint="cs"/>
          <w:rtl/>
        </w:rPr>
        <w:t>עזר לצבי</w:t>
      </w:r>
      <w:r w:rsidR="00527574">
        <w:rPr>
          <w:rFonts w:hint="cs"/>
          <w:rtl/>
        </w:rPr>
        <w:t xml:space="preserve"> </w:t>
      </w:r>
    </w:p>
    <w:p w14:paraId="076820ED" w14:textId="7F93268B" w:rsidR="00EC7C87" w:rsidRDefault="00E20226" w:rsidP="008F2FC0">
      <w:pPr>
        <w:pStyle w:val="Subtitle"/>
      </w:pPr>
      <w:r>
        <w:rPr>
          <w:rFonts w:hint="cs"/>
          <w:rtl/>
        </w:rPr>
        <w:t>בענין קנין סודר</w:t>
      </w:r>
    </w:p>
    <w:p w14:paraId="36E6B4E8" w14:textId="77777777" w:rsidR="00243A9E" w:rsidRDefault="00243A9E" w:rsidP="00243A9E">
      <w:pPr>
        <w:pStyle w:val="Heading2"/>
      </w:pPr>
      <w:r>
        <w:rPr>
          <w:rFonts w:hint="cs"/>
          <w:rtl/>
        </w:rPr>
        <w:t>תוס' ו. ד"ה צריכה קנין</w:t>
      </w:r>
    </w:p>
    <w:p w14:paraId="0D3E32A4" w14:textId="77777777" w:rsidR="00243A9E" w:rsidRDefault="00243A9E" w:rsidP="00243A9E">
      <w:pPr>
        <w:pStyle w:val="Heading2"/>
        <w:rPr>
          <w:rtl/>
        </w:rPr>
      </w:pPr>
      <w:r>
        <w:rPr>
          <w:rFonts w:hint="cs"/>
          <w:rtl/>
        </w:rPr>
        <w:t>רמב"ם הלכות מכירה ה: יב-יג</w:t>
      </w:r>
    </w:p>
    <w:p w14:paraId="2629788C" w14:textId="77777777" w:rsidR="00243A9E" w:rsidRPr="00784221" w:rsidRDefault="00243A9E" w:rsidP="00243A9E">
      <w:pPr>
        <w:pStyle w:val="Heading2"/>
        <w:rPr>
          <w:color w:val="auto"/>
          <w:sz w:val="22"/>
          <w:szCs w:val="22"/>
          <w:shd w:val="clear" w:color="auto" w:fill="auto"/>
          <w:rtl/>
        </w:rPr>
      </w:pPr>
      <w:r w:rsidRPr="00784221">
        <w:rPr>
          <w:color w:val="auto"/>
          <w:sz w:val="22"/>
          <w:szCs w:val="22"/>
          <w:shd w:val="clear" w:color="auto" w:fill="auto"/>
          <w:rtl/>
        </w:rPr>
        <w:t xml:space="preserve">נהגו רוב המקומות להקנות למקצת אלו הדברים או כיוצא באלו, ואומרים וקנינו מפלוני שעשה פלוני שליח, או שמחל לפלוני חוב שיש לו אצלו, או שבטל המודעה שמסר על גט זה וכיוצא באלו, אע"פ שאינו צריך.  </w:t>
      </w:r>
    </w:p>
    <w:p w14:paraId="20026AD4" w14:textId="77777777" w:rsidR="00243A9E" w:rsidRPr="00784221" w:rsidRDefault="00243A9E" w:rsidP="00243A9E">
      <w:pPr>
        <w:rPr>
          <w:rtl/>
        </w:rPr>
      </w:pPr>
      <w:r w:rsidRPr="00784221">
        <w:rPr>
          <w:rtl/>
        </w:rPr>
        <w:t>קנין זה שנהגו להקנות באלו הדברים אינו מועיל כלום, אלא להודיע שאינו אומר דברים אלו כמשחק ומהתל אלא שגמר בלבו ואחר כך אמר, לפיכך אם אמר בלב שלם אני אמרתי וגמרתי לעשות דבר זה אין צריך דבר אחר כלל.</w:t>
      </w:r>
    </w:p>
    <w:p w14:paraId="15A8B527" w14:textId="77777777" w:rsidR="00243A9E" w:rsidRDefault="00243A9E" w:rsidP="00243A9E">
      <w:pPr>
        <w:pStyle w:val="Heading2"/>
        <w:rPr>
          <w:rtl/>
        </w:rPr>
      </w:pPr>
      <w:r>
        <w:rPr>
          <w:rFonts w:hint="cs"/>
          <w:rtl/>
        </w:rPr>
        <w:t>נפש הרב עמ' קעט ומפניני הרב עמ' רעח</w:t>
      </w:r>
    </w:p>
    <w:p w14:paraId="1DF073E4" w14:textId="5C4F5B24" w:rsidR="0046203D" w:rsidRDefault="0046203D" w:rsidP="0046203D">
      <w:pPr>
        <w:pStyle w:val="Heading2"/>
        <w:rPr>
          <w:rtl/>
        </w:rPr>
      </w:pPr>
      <w:r>
        <w:rPr>
          <w:rFonts w:hint="cs"/>
          <w:rtl/>
        </w:rPr>
        <w:t>בבא בתרא מ. ותוס' שם ד"ה קנין</w:t>
      </w:r>
    </w:p>
    <w:p w14:paraId="5C5951DD" w14:textId="77777777" w:rsidR="00243A9E" w:rsidRDefault="00243A9E" w:rsidP="00243A9E">
      <w:pPr>
        <w:pStyle w:val="Heading2"/>
        <w:rPr>
          <w:rtl/>
        </w:rPr>
      </w:pPr>
      <w:r>
        <w:rPr>
          <w:rFonts w:hint="cs"/>
          <w:rtl/>
        </w:rPr>
        <w:t>שיטה מקובצת שם ד"ה קנין</w:t>
      </w:r>
    </w:p>
    <w:p w14:paraId="69A67202" w14:textId="6AE8E39A" w:rsidR="00243A9E" w:rsidRDefault="00243A9E" w:rsidP="0046203D">
      <w:r w:rsidRPr="00B21FBC">
        <w:rPr>
          <w:rtl/>
        </w:rPr>
        <w:t>וזה לשון הראב"ד ז"ל</w:t>
      </w:r>
      <w:r w:rsidRPr="00B21FBC">
        <w:t>: </w:t>
      </w:r>
      <w:r w:rsidRPr="00B21FBC">
        <w:rPr>
          <w:rtl/>
        </w:rPr>
        <w:t>אמר אברהם לכא</w:t>
      </w:r>
      <w:r w:rsidR="0046203D">
        <w:rPr>
          <w:rtl/>
        </w:rPr>
        <w:t>ורה הא דאמרינן להו בפני שנים לא</w:t>
      </w:r>
      <w:r w:rsidRPr="00B21FBC">
        <w:rPr>
          <w:rtl/>
        </w:rPr>
        <w:t>מפחד</w:t>
      </w:r>
      <w:r w:rsidR="0046203D">
        <w:rPr>
          <w:rtl/>
        </w:rPr>
        <w:t> כפירה הוא אלא שאין מתקיים המע</w:t>
      </w:r>
      <w:r w:rsidR="0046203D">
        <w:rPr>
          <w:rFonts w:hint="cs"/>
          <w:rtl/>
        </w:rPr>
        <w:t>ש</w:t>
      </w:r>
      <w:r w:rsidRPr="00B21FBC">
        <w:rPr>
          <w:rtl/>
        </w:rPr>
        <w:t>ה אלא בשנים ואפילו הוא מודהלו שאם מפחד כפירה הוא גם כל המעשה שיעשה אדם עם חברו מתנותומכירות ומחילות וחלופי חפץ בחפץ והלואות כולם צריכות שנים ויש מהםצריכות כתיבה ויש אינם צריכות ומהימנו את אלו אבל נראהכי שארהדברים מתקיימים בהודאת שניהם ואלו אין מתקיימים אלא בעדים ולפיכךהוצרך לומר קיום שטרות לומר שאין מתקיים אלא בשלשה מעתה קנין אין</w:t>
      </w:r>
      <w:r>
        <w:rPr>
          <w:rFonts w:hint="cs"/>
          <w:rtl/>
        </w:rPr>
        <w:t xml:space="preserve"> </w:t>
      </w:r>
      <w:r w:rsidRPr="00B21FBC">
        <w:rPr>
          <w:rtl/>
        </w:rPr>
        <w:t>מתקיים אלא בעדים וכן כתב גאון ז"ל</w:t>
      </w:r>
      <w:r w:rsidRPr="00B21FBC">
        <w:t>. </w:t>
      </w:r>
      <w:r w:rsidRPr="00B21FBC">
        <w:rPr>
          <w:rtl/>
        </w:rPr>
        <w:t>אלא שה"ר יצחק ז"ל חולק בדבר ואני</w:t>
      </w:r>
      <w:r>
        <w:rPr>
          <w:rFonts w:hint="cs"/>
          <w:rtl/>
        </w:rPr>
        <w:t xml:space="preserve"> </w:t>
      </w:r>
      <w:r w:rsidRPr="00B21FBC">
        <w:rPr>
          <w:rtl/>
        </w:rPr>
        <w:t>מוסיף על דברי הגאון ז"ל כי על תפיסת הסודר בלבד נאמר מפני שאין בושום משא ומתן ושלא בעדים מחזי כחוכא ואטלולא אבל בקנין האמור</w:t>
      </w:r>
      <w:r>
        <w:rPr>
          <w:rFonts w:hint="cs"/>
          <w:rtl/>
        </w:rPr>
        <w:t xml:space="preserve"> </w:t>
      </w:r>
      <w:r w:rsidRPr="00B21FBC">
        <w:rPr>
          <w:rtl/>
        </w:rPr>
        <w:t>במקרא שלף נעלו ונתן לרעהו אין צריך לעדות אלא מה שיודה לו</w:t>
      </w:r>
      <w:r w:rsidRPr="00B21FBC">
        <w:t>. </w:t>
      </w:r>
      <w:r w:rsidRPr="00B21FBC">
        <w:rPr>
          <w:rtl/>
        </w:rPr>
        <w:t>כן נראהלי</w:t>
      </w:r>
      <w:r w:rsidRPr="00B21FBC">
        <w:t>. </w:t>
      </w:r>
      <w:r w:rsidRPr="00B21FBC">
        <w:rPr>
          <w:rtl/>
        </w:rPr>
        <w:t>עכ"ל</w:t>
      </w:r>
      <w:r w:rsidRPr="00B21FBC">
        <w:t>:</w:t>
      </w:r>
    </w:p>
    <w:p w14:paraId="1FA3D274" w14:textId="77777777" w:rsidR="0046203D" w:rsidRDefault="0046203D" w:rsidP="0046203D">
      <w:pPr>
        <w:pStyle w:val="Heading2"/>
        <w:rPr>
          <w:rtl/>
        </w:rPr>
      </w:pPr>
      <w:r>
        <w:rPr>
          <w:rFonts w:hint="cs"/>
          <w:rtl/>
        </w:rPr>
        <w:t>רמב"ם הלכות מכירה ה:ט</w:t>
      </w:r>
    </w:p>
    <w:p w14:paraId="6ACD714C" w14:textId="77777777" w:rsidR="0046203D" w:rsidRDefault="0046203D" w:rsidP="0046203D">
      <w:pPr>
        <w:rPr>
          <w:rtl/>
        </w:rPr>
      </w:pPr>
      <w:r>
        <w:rPr>
          <w:rtl/>
        </w:rPr>
        <w:t>זה הקניין אין צריך להיות בפני</w:t>
      </w:r>
      <w:r w:rsidRPr="00076181">
        <w:rPr>
          <w:rtl/>
        </w:rPr>
        <w:t xml:space="preserve"> עדים, אלא אם היה בינו ובין חבירו קנה, שלא הצריכה תורה עדים בדיני ממונות אלא לכופר, אבל המוכר או הנותן או השוכר או המשאיל וכיוצא בהן אין צריך עדים, וכיון שקנה הקונה בדרך אחד מן הדרכים שקונין בהן, בין בהגבהה, בין במשיכה, בין במסירה, בין בקנין, בין בכסף, בין בשטר או בחזקה קנה, ואף על פי שאין שם עדים. +/השגת הראב"ד/ שאין שם עדים וכו'. א"א אין הכל מ</w:t>
      </w:r>
      <w:bookmarkStart w:id="0" w:name="_GoBack"/>
      <w:bookmarkEnd w:id="0"/>
      <w:r w:rsidRPr="00076181">
        <w:rPr>
          <w:rtl/>
        </w:rPr>
        <w:t>ודים בקניין עכ"ל.+</w:t>
      </w:r>
    </w:p>
    <w:p w14:paraId="1A6B32DB" w14:textId="0670E152" w:rsidR="00E02B67" w:rsidRDefault="00E02B67" w:rsidP="00E02B67">
      <w:pPr>
        <w:pStyle w:val="Heading2"/>
        <w:rPr>
          <w:rtl/>
        </w:rPr>
      </w:pPr>
      <w:r w:rsidRPr="00E02B67">
        <w:rPr>
          <w:rtl/>
        </w:rPr>
        <w:t>נתיבות המשפט ביאורים קצו</w:t>
      </w:r>
      <w:r>
        <w:rPr>
          <w:rFonts w:hint="cs"/>
          <w:rtl/>
        </w:rPr>
        <w:t>:א</w:t>
      </w:r>
      <w:r>
        <w:rPr>
          <w:rStyle w:val="FootnoteReference"/>
          <w:rtl/>
        </w:rPr>
        <w:footnoteReference w:id="1"/>
      </w:r>
    </w:p>
    <w:p w14:paraId="4E704B9B" w14:textId="1D8AAC7D" w:rsidR="00E02B67" w:rsidRDefault="00E02B67" w:rsidP="00E02B67">
      <w:pPr>
        <w:rPr>
          <w:rtl/>
        </w:rPr>
      </w:pPr>
      <w:r w:rsidRPr="00E02B67">
        <w:rPr>
          <w:rtl/>
        </w:rPr>
        <w:t>ונקנה ג"כ במשיכה. הפני יהושע בחידושיו [קדושין כ"ב ע"ב ד"ה אמר] תמה הא עבד איתקש לקרקע, ותירץ דאין דנין אפשר משאי אפשר, דקרקע אי אפשר במשיכה. וקשה לי הא מבואר בסימן ר"ב [סעיף י"א] גבי עציץ נקוב דאינו קונה הזרעים במשיכה משום דאין קרקע נקנה במשיכה, והוא ש"ס מפורש בגיטין כ"ב [ע"א], אלמא דקרקע אף דאפשר במשיכה לא נקנה במשיכה. והעיקר כתירוץ הראשון שכתב הפני יהושע שם ע"ש.</w:t>
      </w:r>
    </w:p>
    <w:p w14:paraId="39B05AB4" w14:textId="1590570F" w:rsidR="001D2B17" w:rsidRDefault="001D2B17" w:rsidP="001D2B17">
      <w:pPr>
        <w:pStyle w:val="Heading2"/>
      </w:pPr>
      <w:r>
        <w:rPr>
          <w:rtl/>
        </w:rPr>
        <w:t>ספר החינוך מצוה שלו</w:t>
      </w:r>
    </w:p>
    <w:p w14:paraId="3190A82B" w14:textId="6E334E37" w:rsidR="001D2B17" w:rsidRDefault="001D2B17" w:rsidP="001D2B17">
      <w:pPr>
        <w:pStyle w:val="Heading2"/>
        <w:rPr>
          <w:rtl/>
        </w:rPr>
      </w:pPr>
      <w:r>
        <w:rPr>
          <w:rFonts w:hint="cs"/>
          <w:rtl/>
        </w:rPr>
        <w:t>מנחת חינוך שם</w:t>
      </w:r>
    </w:p>
    <w:p w14:paraId="28AC1F23" w14:textId="2536A17F" w:rsidR="001D2B17" w:rsidRPr="001D2B17" w:rsidRDefault="001D2B17" w:rsidP="001D2B17">
      <w:pPr>
        <w:rPr>
          <w:rtl/>
        </w:rPr>
      </w:pPr>
      <w:r w:rsidRPr="001D2B17">
        <w:rPr>
          <w:rtl/>
        </w:rPr>
        <w:t>והנה קנין חזקה ליתא במטלטלין כמבואר להדיא בקדושין דף כ"ב ע"ב ובכל הפוסקים ותימא על פסקי תוס' בכורות פ"ב סי' כ"ה שכ' חזקה שייך במטלטלין דמשמע שכן הדין חזקה מועיל במטלטלין וז"א כמ"ש</w:t>
      </w:r>
    </w:p>
    <w:p w14:paraId="71886EA6" w14:textId="5E40CF2B" w:rsidR="00E531C4" w:rsidRDefault="008320AB" w:rsidP="009D7627">
      <w:pPr>
        <w:pStyle w:val="Heading2"/>
        <w:rPr>
          <w:rtl/>
        </w:rPr>
      </w:pPr>
      <w:r>
        <w:rPr>
          <w:rFonts w:hint="cs"/>
          <w:rtl/>
        </w:rPr>
        <w:t xml:space="preserve">מגילת </w:t>
      </w:r>
      <w:r w:rsidR="00E531C4">
        <w:rPr>
          <w:rFonts w:hint="cs"/>
          <w:rtl/>
        </w:rPr>
        <w:t>רות ד:ז</w:t>
      </w:r>
      <w:r w:rsidR="00E531C4">
        <w:rPr>
          <w:rStyle w:val="FootnoteReference"/>
          <w:rtl/>
        </w:rPr>
        <w:footnoteReference w:id="2"/>
      </w:r>
    </w:p>
    <w:p w14:paraId="627DC5EC" w14:textId="05389CF9" w:rsidR="002B4B71" w:rsidRPr="002B4B71" w:rsidRDefault="002B4B71" w:rsidP="002B4B71">
      <w:pPr>
        <w:pStyle w:val="Heading2"/>
        <w:rPr>
          <w:rtl/>
        </w:rPr>
      </w:pPr>
      <w:r w:rsidRPr="002B4B71">
        <w:rPr>
          <w:rtl/>
        </w:rPr>
        <w:t>רש"ש מסכת בכורות דף יח עמוד ב</w:t>
      </w:r>
    </w:p>
    <w:p w14:paraId="134D237E" w14:textId="5CE147B3" w:rsidR="009D7627" w:rsidRDefault="009D7627" w:rsidP="009D7627">
      <w:pPr>
        <w:pStyle w:val="Heading2"/>
        <w:rPr>
          <w:rtl/>
        </w:rPr>
      </w:pPr>
      <w:r>
        <w:rPr>
          <w:rFonts w:hint="cs"/>
          <w:rtl/>
        </w:rPr>
        <w:lastRenderedPageBreak/>
        <w:t>רמב"ם הלכות מכירה כט:א, ט</w:t>
      </w:r>
    </w:p>
    <w:p w14:paraId="2609B13D" w14:textId="443C5CFB" w:rsidR="009D7627" w:rsidRDefault="009D7627" w:rsidP="009D7627">
      <w:pPr>
        <w:rPr>
          <w:rtl/>
        </w:rPr>
      </w:pPr>
      <w:r w:rsidRPr="009D7627">
        <w:rPr>
          <w:rtl/>
        </w:rPr>
        <w:t>שלשה אין מקחן מקח ואין ממכרן ממכר דין תורה, החרש השוטה א והקטן, אבל חכמים תקנו שיהיה החרש והקטן נושא ונותן ומעשיו קיימין משום כדי חייו.</w:t>
      </w:r>
    </w:p>
    <w:p w14:paraId="1419FE45" w14:textId="38C2B60A" w:rsidR="009D7627" w:rsidRDefault="009D7627" w:rsidP="009D7627">
      <w:r w:rsidRPr="009D7627">
        <w:rPr>
          <w:rtl/>
        </w:rPr>
        <w:t>ואין קניין מיד הקטן כלום שהקניין בשטר ואין העדים חותמין אלא על שטר של אדם גדול.</w:t>
      </w:r>
      <w:r>
        <w:rPr>
          <w:rFonts w:hint="cs"/>
          <w:rtl/>
        </w:rPr>
        <w:t xml:space="preserve"> +/השגת הראב"ד (שייך לה"ח)/ </w:t>
      </w:r>
      <w:r w:rsidRPr="009D7627">
        <w:rPr>
          <w:rtl/>
        </w:rPr>
        <w:t>וכן אם קנה הוא בקניין קנה שהמקנה מקנה לו כל קניינו ואינו חוזר בו</w:t>
      </w:r>
      <w:r>
        <w:rPr>
          <w:rFonts w:hint="cs"/>
          <w:rtl/>
        </w:rPr>
        <w:t>+</w:t>
      </w:r>
    </w:p>
    <w:p w14:paraId="54937A2B" w14:textId="1F412486" w:rsidR="009D7627" w:rsidRDefault="009D7627" w:rsidP="009D7627">
      <w:pPr>
        <w:pStyle w:val="Heading2"/>
      </w:pPr>
      <w:r>
        <w:rPr>
          <w:rtl/>
        </w:rPr>
        <w:t>קצות החושן מ</w:t>
      </w:r>
      <w:r>
        <w:rPr>
          <w:rFonts w:hint="cs"/>
          <w:rtl/>
        </w:rPr>
        <w:t>:א</w:t>
      </w:r>
    </w:p>
    <w:p w14:paraId="2AD1A66D" w14:textId="1C932140" w:rsidR="00E50BA0" w:rsidRDefault="00E50BA0" w:rsidP="00E50BA0">
      <w:pPr>
        <w:pStyle w:val="Heading2"/>
        <w:rPr>
          <w:rtl/>
        </w:rPr>
      </w:pPr>
      <w:r>
        <w:rPr>
          <w:rFonts w:hint="cs"/>
          <w:rtl/>
        </w:rPr>
        <w:t>תוס' כתובות קב. ד"ה אליבא</w:t>
      </w:r>
    </w:p>
    <w:p w14:paraId="0C38681A" w14:textId="60B90FF0" w:rsidR="00CB6FA8" w:rsidRDefault="00CB6FA8" w:rsidP="00CB6FA8">
      <w:pPr>
        <w:pStyle w:val="Heading2"/>
        <w:rPr>
          <w:rtl/>
        </w:rPr>
      </w:pPr>
      <w:r>
        <w:rPr>
          <w:rFonts w:hint="cs"/>
          <w:rtl/>
        </w:rPr>
        <w:t>חידושי הריטב"א בבא בתרא עו.</w:t>
      </w:r>
    </w:p>
    <w:p w14:paraId="771AFEBF" w14:textId="1701EB54" w:rsidR="00CB6FA8" w:rsidRPr="00CB6FA8" w:rsidRDefault="00CB6FA8" w:rsidP="00CB6FA8">
      <w:r w:rsidRPr="00CB6FA8">
        <w:rPr>
          <w:rtl/>
        </w:rPr>
        <w:t>דהא מטלטלי לאו בני שטרא נינהו לפי שאי אפשר לסיימם כמו קרקע במצריו או עבד בשמו.</w:t>
      </w:r>
    </w:p>
    <w:p w14:paraId="2307F3D0" w14:textId="786225DD" w:rsidR="006C412B" w:rsidRDefault="006C412B" w:rsidP="006C412B">
      <w:pPr>
        <w:pStyle w:val="Heading2"/>
      </w:pPr>
      <w:r>
        <w:rPr>
          <w:rFonts w:hint="cs"/>
          <w:rtl/>
        </w:rPr>
        <w:t>ארץ הצבי עמ' קצח</w:t>
      </w:r>
      <w:r w:rsidR="00E531C4">
        <w:rPr>
          <w:rFonts w:hint="cs"/>
          <w:rtl/>
        </w:rPr>
        <w:t xml:space="preserve">, גינת אגוז עמ' קיח הערה </w:t>
      </w:r>
      <w:r w:rsidR="00195B6C">
        <w:rPr>
          <w:rFonts w:hint="cs"/>
          <w:rtl/>
        </w:rPr>
        <w:t xml:space="preserve"> </w:t>
      </w:r>
      <w:r w:rsidR="00E531C4">
        <w:rPr>
          <w:rFonts w:hint="cs"/>
          <w:rtl/>
        </w:rPr>
        <w:t>6</w:t>
      </w:r>
    </w:p>
    <w:p w14:paraId="5081695F" w14:textId="77777777" w:rsidR="00E50BA0" w:rsidRDefault="00E531C4" w:rsidP="00E50BA0">
      <w:pPr>
        <w:pStyle w:val="Heading2"/>
      </w:pPr>
      <w:r>
        <w:rPr>
          <w:rtl/>
        </w:rPr>
        <w:t>רמב"ם הלכות תרומות פרק א</w:t>
      </w:r>
    </w:p>
    <w:p w14:paraId="31226779" w14:textId="256F0AE6" w:rsidR="00F8208B" w:rsidRDefault="009F4410" w:rsidP="00E50BA0">
      <w:pPr>
        <w:pStyle w:val="Heading2"/>
        <w:rPr>
          <w:rtl/>
        </w:rPr>
      </w:pPr>
      <w:r>
        <w:rPr>
          <w:rFonts w:hint="cs"/>
          <w:rtl/>
        </w:rPr>
        <w:t xml:space="preserve">בבא בתרא קמט., </w:t>
      </w:r>
      <w:r w:rsidR="00E50BA0">
        <w:rPr>
          <w:rFonts w:hint="cs"/>
          <w:rtl/>
        </w:rPr>
        <w:t>תוס' גיטין יג: ד"ה גופא</w:t>
      </w:r>
    </w:p>
    <w:p w14:paraId="6DF8B3FE" w14:textId="0BD21DFD" w:rsidR="00E531C4" w:rsidRDefault="00D72AF9" w:rsidP="00E50BA0">
      <w:pPr>
        <w:pStyle w:val="Heading2"/>
        <w:rPr>
          <w:rtl/>
        </w:rPr>
      </w:pPr>
      <w:r>
        <w:rPr>
          <w:rFonts w:hint="cs"/>
          <w:rtl/>
        </w:rPr>
        <w:t>וחכמת שלמה שם</w:t>
      </w:r>
      <w:r w:rsidR="00FF7BEC">
        <w:rPr>
          <w:rStyle w:val="FootnoteReference"/>
          <w:rtl/>
        </w:rPr>
        <w:footnoteReference w:id="3"/>
      </w:r>
    </w:p>
    <w:p w14:paraId="02A4EAD8" w14:textId="5E670175" w:rsidR="00F8208B" w:rsidRPr="00F8208B" w:rsidRDefault="00F8208B" w:rsidP="00F8208B">
      <w:r w:rsidRPr="00F8208B">
        <w:rPr>
          <w:rtl/>
        </w:rPr>
        <w:t>תוס' בד"ה גופא כו' יקנה באודיתא כו' נ"ב פי' שיודה הנותן שהממון שהפקיד ביד הנפקד שזה אינו שלו אלא הוא של אותו פלוני המקבל ואז יועיל אפי' אינו ביד הנפקד לאותו העת ואע"פ שאודיתא מהני אפי' בע"כ כדמוכח גבי רבא מ"מ לא קשה למה תקינו מעמד שלשתן יקנה באודיתא י"ל משום דשיקרא הוא ודבר שקר לא יכון לנגד עיניו וחכמים הרחיקו זו המדה כמה פעמים משום דמחזי כשיקרא תקנו מעמד שלשה שיהיו כל הקנינים על פי הדעת והאמת אבל מאחר דזכי מהני אלא משום דדלמא איתרמי שלא יהיה הפקדון ביד הנפקד משום מילתא דלא שכיחא כי האי לא הוה להו לתקוני מעמד ג' מאחר שיש ג"כ תיקון בדבר באודיתא ודו"ק. (עי' במהרש"א):</w:t>
      </w:r>
    </w:p>
    <w:p w14:paraId="3B12E7EE" w14:textId="2BDE462E" w:rsidR="00F3203A" w:rsidRDefault="00F3203A" w:rsidP="00F3203A">
      <w:pPr>
        <w:pStyle w:val="Heading2"/>
        <w:rPr>
          <w:rtl/>
        </w:rPr>
      </w:pPr>
      <w:r w:rsidRPr="00F3203A">
        <w:rPr>
          <w:rtl/>
        </w:rPr>
        <w:t xml:space="preserve">קצות החושן </w:t>
      </w:r>
      <w:r w:rsidR="00E95310">
        <w:rPr>
          <w:rFonts w:hint="cs"/>
          <w:rtl/>
        </w:rPr>
        <w:t>יב:א ו</w:t>
      </w:r>
      <w:r w:rsidRPr="00F3203A">
        <w:rPr>
          <w:rtl/>
        </w:rPr>
        <w:t>רסט</w:t>
      </w:r>
      <w:r>
        <w:rPr>
          <w:rFonts w:hint="cs"/>
          <w:rtl/>
        </w:rPr>
        <w:t>:א</w:t>
      </w:r>
    </w:p>
    <w:p w14:paraId="77B155CA" w14:textId="42C2793E" w:rsidR="001921EE" w:rsidRPr="00F3203A" w:rsidRDefault="001921EE" w:rsidP="00F3203A">
      <w:pPr>
        <w:pStyle w:val="Heading2"/>
        <w:rPr>
          <w:rtl/>
        </w:rPr>
      </w:pPr>
      <w:r>
        <w:rPr>
          <w:rtl/>
        </w:rPr>
        <w:t>נתיבות המשפט ביאורים רסט</w:t>
      </w:r>
      <w:r>
        <w:rPr>
          <w:rFonts w:hint="cs"/>
          <w:rtl/>
        </w:rPr>
        <w:t>:א</w:t>
      </w:r>
      <w:r w:rsidR="00F3203A">
        <w:rPr>
          <w:rStyle w:val="FootnoteReference"/>
          <w:rtl/>
        </w:rPr>
        <w:footnoteReference w:id="4"/>
      </w:r>
    </w:p>
    <w:p w14:paraId="52B1EE93" w14:textId="01438C98" w:rsidR="001921EE" w:rsidRDefault="001921EE" w:rsidP="001921EE">
      <w:pPr>
        <w:rPr>
          <w:rtl/>
        </w:rPr>
      </w:pPr>
      <w:r>
        <w:rPr>
          <w:rtl/>
        </w:rPr>
        <w:t>המגביה מציאה. עיין סמ"ע [סק"א] שכתב דבעינן דוקא שאמר, והש"ך [סק"א] חולק וכתב דבמחשבה סגי. ובקצוה"ח [סק"א] חולק על הש"ך דהא דברים שבלב אינן דברים. ואישתמיטתיה דברי הרשב"א בחידושיו לקדושין דף נ' [ע"א] דדוקא במקום דהדברים שבלב סותרין לדברים שבפה לא הויין דברים שבלב דברים, אבל דברים שבלב סתמן הויין דברים כמו בתרומה דמהני מחשבה [גיטין ל"א ע"א]. ומ"ש ראיה מבגדים שצבע לשמן, אין ראיה, דשם יש הוכחה שנצבע לשמן שבגדיהן הן. מיהו אם אמר בפירוש שמגביה לצורך עצמו ומודה שנתכוין [לחבירו] לא קנה חבירו, כיון שהדברים שבלב סותרין לדברים שבפה אינן דברים.</w:t>
      </w:r>
    </w:p>
    <w:sectPr w:rsidR="001921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6F925" w14:textId="77777777" w:rsidR="00243A9E" w:rsidRDefault="00243A9E" w:rsidP="00AE281B">
      <w:r>
        <w:separator/>
      </w:r>
    </w:p>
  </w:endnote>
  <w:endnote w:type="continuationSeparator" w:id="0">
    <w:p w14:paraId="057008EB" w14:textId="77777777" w:rsidR="00243A9E" w:rsidRDefault="00243A9E"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0D81A"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7A3B0" w14:textId="77777777" w:rsidR="00243A9E" w:rsidRDefault="00243A9E" w:rsidP="00AE281B">
      <w:r>
        <w:separator/>
      </w:r>
    </w:p>
  </w:footnote>
  <w:footnote w:type="continuationSeparator" w:id="0">
    <w:p w14:paraId="16A46EC1" w14:textId="77777777" w:rsidR="00243A9E" w:rsidRDefault="00243A9E" w:rsidP="00AE281B">
      <w:r>
        <w:continuationSeparator/>
      </w:r>
    </w:p>
  </w:footnote>
  <w:footnote w:id="1">
    <w:p w14:paraId="3380C2BC" w14:textId="201EFB53" w:rsidR="00E02B67" w:rsidRDefault="00E02B67" w:rsidP="00634EB8">
      <w:pPr>
        <w:pStyle w:val="FootnoteText"/>
      </w:pPr>
      <w:r>
        <w:rPr>
          <w:rStyle w:val="FootnoteReference"/>
        </w:rPr>
        <w:footnoteRef/>
      </w:r>
      <w:r>
        <w:rPr>
          <w:rtl/>
        </w:rPr>
        <w:t xml:space="preserve"> </w:t>
      </w:r>
      <w:r w:rsidR="00634EB8">
        <w:rPr>
          <w:rFonts w:hint="cs"/>
          <w:rtl/>
        </w:rPr>
        <w:t xml:space="preserve">אולי </w:t>
      </w:r>
      <w:r>
        <w:rPr>
          <w:rFonts w:hint="cs"/>
          <w:rtl/>
        </w:rPr>
        <w:t>לזה התכוון רבנו שליט"א</w:t>
      </w:r>
    </w:p>
  </w:footnote>
  <w:footnote w:id="2">
    <w:p w14:paraId="19BA97B1" w14:textId="45C0EE8C" w:rsidR="00E531C4" w:rsidRDefault="00E531C4" w:rsidP="006F6EAF">
      <w:pPr>
        <w:pStyle w:val="FootnoteText"/>
      </w:pPr>
      <w:r>
        <w:rPr>
          <w:rStyle w:val="FootnoteReference"/>
        </w:rPr>
        <w:footnoteRef/>
      </w:r>
      <w:r>
        <w:rPr>
          <w:rtl/>
        </w:rPr>
        <w:t xml:space="preserve"> </w:t>
      </w:r>
      <w:r>
        <w:rPr>
          <w:rFonts w:hint="cs"/>
          <w:rtl/>
        </w:rPr>
        <w:t xml:space="preserve">ע' </w:t>
      </w:r>
      <w:r w:rsidRPr="00E531C4">
        <w:rPr>
          <w:rtl/>
        </w:rPr>
        <w:t>דעת זקנים על שמות ג</w:t>
      </w:r>
      <w:r w:rsidR="00966E49">
        <w:rPr>
          <w:rFonts w:hint="cs"/>
          <w:rtl/>
        </w:rPr>
        <w:t>:</w:t>
      </w:r>
      <w:r w:rsidRPr="00E531C4">
        <w:rPr>
          <w:rtl/>
        </w:rPr>
        <w:t>ה</w:t>
      </w:r>
      <w:r w:rsidR="00966E49">
        <w:rPr>
          <w:rFonts w:hint="cs"/>
          <w:rtl/>
        </w:rPr>
        <w:t xml:space="preserve"> וז"ל</w:t>
      </w:r>
      <w:r w:rsidR="006F6EAF">
        <w:rPr>
          <w:rFonts w:hint="cs"/>
          <w:rtl/>
        </w:rPr>
        <w:t>:</w:t>
      </w:r>
      <w:r w:rsidR="00966E49">
        <w:rPr>
          <w:rFonts w:hint="cs"/>
          <w:rtl/>
        </w:rPr>
        <w:t xml:space="preserve"> </w:t>
      </w:r>
      <w:r w:rsidR="00966E49" w:rsidRPr="00966E49">
        <w:rPr>
          <w:rtl/>
        </w:rPr>
        <w:t>שיש נעל שהוא על היד ובלע"ז גנ"ט והוא נעל שנתן בעז לגואל דכתיב איש נעלו ונתן לרעהו וגם עכשיו רגילים השרים והשלטונים לקנות בגנ"ט שלהם.</w:t>
      </w:r>
    </w:p>
  </w:footnote>
  <w:footnote w:id="3">
    <w:p w14:paraId="5F021D70" w14:textId="17759816" w:rsidR="00FF7BEC" w:rsidRDefault="00FF7BEC">
      <w:pPr>
        <w:pStyle w:val="FootnoteText"/>
        <w:rPr>
          <w:rtl/>
        </w:rPr>
      </w:pPr>
      <w:r>
        <w:rPr>
          <w:rStyle w:val="FootnoteReference"/>
        </w:rPr>
        <w:footnoteRef/>
      </w:r>
      <w:r>
        <w:rPr>
          <w:rtl/>
        </w:rPr>
        <w:t xml:space="preserve"> </w:t>
      </w:r>
      <w:r>
        <w:rPr>
          <w:rFonts w:hint="cs"/>
          <w:rtl/>
        </w:rPr>
        <w:t>ע"ע בפני יהושע כתובות קב. ובקצות החושן מ:א</w:t>
      </w:r>
    </w:p>
  </w:footnote>
  <w:footnote w:id="4">
    <w:p w14:paraId="5AE7D046" w14:textId="058EFEE1" w:rsidR="00F3203A" w:rsidRDefault="00F3203A" w:rsidP="00280283">
      <w:pPr>
        <w:pStyle w:val="FootnoteText"/>
      </w:pPr>
      <w:r>
        <w:rPr>
          <w:rStyle w:val="FootnoteReference"/>
        </w:rPr>
        <w:footnoteRef/>
      </w:r>
      <w:r>
        <w:rPr>
          <w:rtl/>
        </w:rPr>
        <w:t xml:space="preserve"> </w:t>
      </w:r>
      <w:r>
        <w:rPr>
          <w:rFonts w:hint="cs"/>
          <w:rtl/>
        </w:rPr>
        <w:t xml:space="preserve">וכן כתבו בנתיבות </w:t>
      </w:r>
      <w:r w:rsidRPr="00B40BE0">
        <w:rPr>
          <w:rtl/>
        </w:rPr>
        <w:t>המשפט ביאורים סימן רה</w:t>
      </w:r>
      <w:r>
        <w:rPr>
          <w:rFonts w:hint="cs"/>
          <w:rtl/>
        </w:rPr>
        <w:t>:א ד"ה לכן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5A6B7" w14:textId="77777777" w:rsidR="000005CB" w:rsidRDefault="00243A9E" w:rsidP="00243A9E">
    <w:pPr>
      <w:pStyle w:val="Header"/>
      <w:bidi w:val="0"/>
    </w:pPr>
    <w:r>
      <w:rPr>
        <w:rFonts w:hint="cs"/>
        <w:rtl/>
      </w:rPr>
      <w:t>שיעור י"ד</w:t>
    </w:r>
    <w:r w:rsidR="00BA2963">
      <w:rPr>
        <w:rFonts w:hint="cs"/>
        <w:rtl/>
      </w:rPr>
      <w:t xml:space="preserve"> -</w:t>
    </w:r>
    <w:r w:rsidR="00527574">
      <w:rPr>
        <w:rFonts w:hint="cs"/>
        <w:rtl/>
      </w:rPr>
      <w:t xml:space="preserve"> מס' </w:t>
    </w:r>
    <w:r w:rsidR="00114827">
      <w:rPr>
        <w:rFonts w:hint="cs"/>
        <w:rtl/>
      </w:rPr>
      <w:t>סנהדרין</w:t>
    </w:r>
    <w:r w:rsidR="000005CB">
      <w:rPr>
        <w:rtl/>
      </w:rPr>
      <w:tab/>
    </w:r>
    <w:r w:rsidRPr="00243A9E">
      <w:rPr>
        <w:rtl/>
      </w:rPr>
      <w:t>כ"ה תשרי תשע"ו</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9E"/>
    <w:rsid w:val="000005CB"/>
    <w:rsid w:val="00114827"/>
    <w:rsid w:val="00125C0B"/>
    <w:rsid w:val="001921EE"/>
    <w:rsid w:val="00195B6C"/>
    <w:rsid w:val="001972B8"/>
    <w:rsid w:val="001D2B17"/>
    <w:rsid w:val="00243A9E"/>
    <w:rsid w:val="00280283"/>
    <w:rsid w:val="002B4B71"/>
    <w:rsid w:val="002B5A91"/>
    <w:rsid w:val="002C0CEB"/>
    <w:rsid w:val="003D3DF2"/>
    <w:rsid w:val="0046203D"/>
    <w:rsid w:val="00502C1F"/>
    <w:rsid w:val="00527574"/>
    <w:rsid w:val="005F54E7"/>
    <w:rsid w:val="00634EB8"/>
    <w:rsid w:val="00637172"/>
    <w:rsid w:val="006C412B"/>
    <w:rsid w:val="006F6EAF"/>
    <w:rsid w:val="007A4624"/>
    <w:rsid w:val="008320AB"/>
    <w:rsid w:val="00883F0F"/>
    <w:rsid w:val="008F2FC0"/>
    <w:rsid w:val="00956A5D"/>
    <w:rsid w:val="00966E49"/>
    <w:rsid w:val="00995396"/>
    <w:rsid w:val="009D7627"/>
    <w:rsid w:val="009E247D"/>
    <w:rsid w:val="009F4410"/>
    <w:rsid w:val="00A04214"/>
    <w:rsid w:val="00A50F8C"/>
    <w:rsid w:val="00AE281B"/>
    <w:rsid w:val="00AF6D7E"/>
    <w:rsid w:val="00B40BE0"/>
    <w:rsid w:val="00B67D56"/>
    <w:rsid w:val="00B97B87"/>
    <w:rsid w:val="00BA2963"/>
    <w:rsid w:val="00BC2476"/>
    <w:rsid w:val="00C227FC"/>
    <w:rsid w:val="00C402D8"/>
    <w:rsid w:val="00CB6FA8"/>
    <w:rsid w:val="00D40A69"/>
    <w:rsid w:val="00D72AF9"/>
    <w:rsid w:val="00E02B67"/>
    <w:rsid w:val="00E20226"/>
    <w:rsid w:val="00E421D7"/>
    <w:rsid w:val="00E50BA0"/>
    <w:rsid w:val="00E531C4"/>
    <w:rsid w:val="00E95310"/>
    <w:rsid w:val="00EC7C87"/>
    <w:rsid w:val="00F3203A"/>
    <w:rsid w:val="00F45111"/>
    <w:rsid w:val="00F8208B"/>
    <w:rsid w:val="00FD4DE2"/>
    <w:rsid w:val="00FF7B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626DCA"/>
  <w15:chartTrackingRefBased/>
  <w15:docId w15:val="{B68E0B08-7A14-40E5-AE7E-E0E89CDC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9E"/>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ListParagraph">
    <w:name w:val="List Paragraph"/>
    <w:basedOn w:val="Normal"/>
    <w:uiPriority w:val="34"/>
    <w:qFormat/>
    <w:rsid w:val="00243A9E"/>
    <w:pPr>
      <w:ind w:left="720"/>
      <w:contextualSpacing/>
    </w:pPr>
  </w:style>
  <w:style w:type="paragraph" w:styleId="FootnoteText">
    <w:name w:val="footnote text"/>
    <w:basedOn w:val="Normal"/>
    <w:link w:val="FootnoteTextChar"/>
    <w:uiPriority w:val="99"/>
    <w:semiHidden/>
    <w:unhideWhenUsed/>
    <w:rsid w:val="00E531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1C4"/>
    <w:rPr>
      <w:rFonts w:ascii="Narkisim" w:hAnsi="Narkisim" w:cs="Narkisim"/>
      <w:sz w:val="20"/>
      <w:szCs w:val="20"/>
    </w:rPr>
  </w:style>
  <w:style w:type="character" w:styleId="FootnoteReference">
    <w:name w:val="footnote reference"/>
    <w:basedOn w:val="DefaultParagraphFont"/>
    <w:uiPriority w:val="99"/>
    <w:semiHidden/>
    <w:unhideWhenUsed/>
    <w:rsid w:val="00E53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1838840724">
      <w:bodyDiv w:val="1"/>
      <w:marLeft w:val="0"/>
      <w:marRight w:val="0"/>
      <w:marTop w:val="0"/>
      <w:marBottom w:val="0"/>
      <w:divBdr>
        <w:top w:val="none" w:sz="0" w:space="0" w:color="auto"/>
        <w:left w:val="none" w:sz="0" w:space="0" w:color="auto"/>
        <w:bottom w:val="none" w:sz="0" w:space="0" w:color="auto"/>
        <w:right w:val="none" w:sz="0" w:space="0" w:color="auto"/>
      </w:divBdr>
      <w:divsChild>
        <w:div w:id="1913925424">
          <w:marLeft w:val="0"/>
          <w:marRight w:val="0"/>
          <w:marTop w:val="0"/>
          <w:marBottom w:val="0"/>
          <w:divBdr>
            <w:top w:val="single" w:sz="6" w:space="0" w:color="CECEC6"/>
            <w:left w:val="none" w:sz="0" w:space="0" w:color="auto"/>
            <w:bottom w:val="none" w:sz="0" w:space="0" w:color="auto"/>
            <w:right w:val="none" w:sz="0" w:space="0" w:color="auto"/>
          </w:divBdr>
        </w:div>
        <w:div w:id="1304237784">
          <w:marLeft w:val="0"/>
          <w:marRight w:val="0"/>
          <w:marTop w:val="0"/>
          <w:marBottom w:val="0"/>
          <w:divBdr>
            <w:top w:val="none" w:sz="0" w:space="0" w:color="auto"/>
            <w:left w:val="none" w:sz="0" w:space="0" w:color="auto"/>
            <w:bottom w:val="none" w:sz="0" w:space="0" w:color="auto"/>
            <w:right w:val="none" w:sz="0" w:space="0" w:color="auto"/>
          </w:divBdr>
          <w:divsChild>
            <w:div w:id="1303541011">
              <w:marLeft w:val="0"/>
              <w:marRight w:val="-45"/>
              <w:marTop w:val="0"/>
              <w:marBottom w:val="0"/>
              <w:divBdr>
                <w:top w:val="none" w:sz="0" w:space="0" w:color="auto"/>
                <w:left w:val="none" w:sz="0" w:space="0" w:color="auto"/>
                <w:bottom w:val="none" w:sz="0" w:space="0" w:color="auto"/>
                <w:right w:val="none" w:sz="0" w:space="0" w:color="auto"/>
              </w:divBdr>
            </w:div>
            <w:div w:id="82264387">
              <w:marLeft w:val="0"/>
              <w:marRight w:val="-45"/>
              <w:marTop w:val="0"/>
              <w:marBottom w:val="0"/>
              <w:divBdr>
                <w:top w:val="none" w:sz="0" w:space="0" w:color="auto"/>
                <w:left w:val="none" w:sz="0" w:space="0" w:color="auto"/>
                <w:bottom w:val="none" w:sz="0" w:space="0" w:color="auto"/>
                <w:right w:val="none" w:sz="0" w:space="0" w:color="auto"/>
              </w:divBdr>
            </w:div>
            <w:div w:id="141068755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734</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33</cp:revision>
  <dcterms:created xsi:type="dcterms:W3CDTF">2015-10-08T14:45:00Z</dcterms:created>
  <dcterms:modified xsi:type="dcterms:W3CDTF">2015-10-11T15:00:00Z</dcterms:modified>
</cp:coreProperties>
</file>