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A8F5" w14:textId="3ED16CAE" w:rsidR="000005CB" w:rsidRPr="00AF6D7E" w:rsidRDefault="00B97B87" w:rsidP="002158E5">
      <w:pPr>
        <w:pStyle w:val="Title"/>
      </w:pPr>
      <w:r w:rsidRPr="008F2FC0">
        <w:rPr>
          <w:rFonts w:hint="cs"/>
          <w:rtl/>
        </w:rPr>
        <w:t>שיעור</w:t>
      </w:r>
      <w:r w:rsidRPr="00AF6D7E">
        <w:rPr>
          <w:rFonts w:hint="cs"/>
          <w:rtl/>
        </w:rPr>
        <w:t xml:space="preserve"> </w:t>
      </w:r>
      <w:r w:rsidR="002158E5">
        <w:rPr>
          <w:rFonts w:hint="cs"/>
          <w:rtl/>
        </w:rPr>
        <w:t>ב</w:t>
      </w:r>
    </w:p>
    <w:p w14:paraId="5E0C6D4F" w14:textId="4AF91E82" w:rsidR="00EC7C87" w:rsidRDefault="00A1394D" w:rsidP="008F2FC0">
      <w:pPr>
        <w:pStyle w:val="Subtitle"/>
        <w:rPr>
          <w:rtl/>
        </w:rPr>
      </w:pPr>
      <w:r>
        <w:rPr>
          <w:rFonts w:hint="cs"/>
          <w:rtl/>
        </w:rPr>
        <w:t>עוד בהבדל בין ב"ד למורה הוראה, בדיני קנסות</w:t>
      </w:r>
    </w:p>
    <w:p w14:paraId="1DCA5348" w14:textId="77777777" w:rsidR="00AF6D7E" w:rsidRDefault="00527574" w:rsidP="00527574">
      <w:pPr>
        <w:pStyle w:val="Heading1"/>
        <w:rPr>
          <w:rtl/>
        </w:rPr>
      </w:pPr>
      <w:r>
        <w:rPr>
          <w:rFonts w:hint="cs"/>
          <w:rtl/>
        </w:rPr>
        <w:t xml:space="preserve">תוספות </w:t>
      </w:r>
      <w:r w:rsidR="002158E5">
        <w:rPr>
          <w:rFonts w:hint="cs"/>
          <w:rtl/>
        </w:rPr>
        <w:t>ג. ד"ה לרבא</w:t>
      </w:r>
    </w:p>
    <w:p w14:paraId="75E9B3FD" w14:textId="77777777" w:rsidR="002158E5" w:rsidRDefault="002158E5" w:rsidP="002158E5">
      <w:pPr>
        <w:pStyle w:val="Heading1"/>
      </w:pPr>
      <w:r>
        <w:rPr>
          <w:rFonts w:hint="cs"/>
          <w:rtl/>
        </w:rPr>
        <w:t>תוספות ב: ד"ה דברי הכל</w:t>
      </w:r>
    </w:p>
    <w:p w14:paraId="6725A392" w14:textId="7FF54A27" w:rsidR="006465AF" w:rsidRDefault="006465AF" w:rsidP="002158E5">
      <w:pPr>
        <w:pStyle w:val="Heading1"/>
        <w:rPr>
          <w:rtl/>
        </w:rPr>
      </w:pPr>
      <w:r>
        <w:rPr>
          <w:rFonts w:hint="cs"/>
          <w:rtl/>
        </w:rPr>
        <w:t>ספר גינת אגוז סימן נ</w:t>
      </w:r>
    </w:p>
    <w:p w14:paraId="1F592AB3" w14:textId="2A010762" w:rsidR="006465AF" w:rsidRDefault="2DCBFB90" w:rsidP="002158E5">
      <w:pPr>
        <w:pStyle w:val="Heading1"/>
        <w:rPr>
          <w:rtl/>
        </w:rPr>
      </w:pPr>
      <w:r w:rsidRPr="2DCBFB90">
        <w:rPr>
          <w:rtl/>
        </w:rPr>
        <w:t>רמב"ם הלכות מלוה ולו הכו:ה</w:t>
      </w:r>
    </w:p>
    <w:p w14:paraId="027FBCC8" w14:textId="7C2688F1" w:rsidR="2DCBFB90" w:rsidRDefault="2DCBFB90">
      <w:r w:rsidRPr="2DCBFB90">
        <w:rPr>
          <w:rFonts w:eastAsia="Narkisim"/>
          <w:color w:val="000080"/>
          <w:sz w:val="28"/>
          <w:szCs w:val="28"/>
          <w:rtl/>
        </w:rPr>
        <w:t>תוספות מסכת בבא קמא דף טו עמוד א</w:t>
      </w:r>
    </w:p>
    <w:p w14:paraId="0A31B28E" w14:textId="5CE81FE2" w:rsidR="2DCBFB90" w:rsidRDefault="2DCBFB90">
      <w:r w:rsidRPr="2DCBFB90">
        <w:rPr>
          <w:rFonts w:eastAsia="Narkisim"/>
          <w:color w:val="1F3E51"/>
          <w:rtl/>
        </w:rPr>
        <w:t xml:space="preserve">אשר תשים לפניהם השוה הכתוב אשה לאיש - תימה הא לפניהם לא איירי אלא בכשרים לדון דכן דרשינן בפרק בתרא דגיטין </w:t>
      </w:r>
      <w:r w:rsidRPr="2DCBFB90">
        <w:rPr>
          <w:rFonts w:eastAsia="Narkisim"/>
          <w:color w:val="008000"/>
          <w:rtl/>
        </w:rPr>
        <w:t>(דף פח: ושם)</w:t>
      </w:r>
      <w:r w:rsidRPr="2DCBFB90">
        <w:rPr>
          <w:rFonts w:eastAsia="Narkisim"/>
          <w:color w:val="1F3E51"/>
          <w:rtl/>
        </w:rPr>
        <w:t xml:space="preserve"> לפניהם ולא לפניהדיוטות ואשה פסולה לדון דתנן בפרק בא סימן </w:t>
      </w:r>
      <w:r w:rsidRPr="2DCBFB90">
        <w:rPr>
          <w:rFonts w:eastAsia="Narkisim"/>
          <w:color w:val="008000"/>
          <w:rtl/>
        </w:rPr>
        <w:t>(נדה דף מט: ושם)</w:t>
      </w:r>
      <w:r w:rsidRPr="2DCBFB90">
        <w:rPr>
          <w:rFonts w:eastAsia="Narkisim"/>
          <w:color w:val="1F3E51"/>
          <w:rtl/>
        </w:rPr>
        <w:t xml:space="preserve"> כל הכשר לדון כשר להעיד ואשה פסולה להעיד כדאמרינן בהחובל </w:t>
      </w:r>
      <w:r w:rsidRPr="2DCBFB90">
        <w:rPr>
          <w:rFonts w:eastAsia="Narkisim"/>
          <w:color w:val="008000"/>
          <w:rtl/>
        </w:rPr>
        <w:t>(לקמן דף פח.)</w:t>
      </w:r>
      <w:r w:rsidRPr="2DCBFB90">
        <w:rPr>
          <w:rFonts w:eastAsia="Narkisim"/>
          <w:color w:val="1F3E51"/>
          <w:rtl/>
        </w:rPr>
        <w:t xml:space="preserve"> ובפרק שבועת העדות</w:t>
      </w:r>
      <w:r w:rsidRPr="2DCBFB90">
        <w:rPr>
          <w:rFonts w:eastAsia="Narkisim"/>
          <w:color w:val="008000"/>
          <w:rtl/>
        </w:rPr>
        <w:t>(שבועות דף ל.)</w:t>
      </w:r>
      <w:r w:rsidRPr="2DCBFB90">
        <w:rPr>
          <w:rFonts w:eastAsia="Narkisim"/>
          <w:color w:val="1F3E51"/>
          <w:rtl/>
        </w:rPr>
        <w:t xml:space="preserve"> וי"ל דההיא דפרק בא סימן </w:t>
      </w:r>
      <w:r w:rsidRPr="2DCBFB90">
        <w:rPr>
          <w:rFonts w:eastAsia="Narkisim"/>
          <w:color w:val="008000"/>
          <w:rtl/>
        </w:rPr>
        <w:t>(נדה ד' מט:)</w:t>
      </w:r>
      <w:r w:rsidRPr="2DCBFB90">
        <w:rPr>
          <w:rFonts w:eastAsia="Narkisim"/>
          <w:color w:val="1F3E51"/>
          <w:rtl/>
        </w:rPr>
        <w:t xml:space="preserve"> באיש איירי כלומר כל איש הכשר לדון כשר להעיד ומדכתיב </w:t>
      </w:r>
      <w:r w:rsidRPr="2DCBFB90">
        <w:rPr>
          <w:rFonts w:eastAsia="Narkisim"/>
          <w:color w:val="008000"/>
          <w:rtl/>
        </w:rPr>
        <w:t>(שופטים ד)</w:t>
      </w:r>
      <w:r w:rsidRPr="2DCBFB90">
        <w:rPr>
          <w:rFonts w:eastAsia="Narkisim"/>
          <w:color w:val="1F3E51"/>
          <w:rtl/>
        </w:rPr>
        <w:t xml:space="preserve"> והיא שפטה את ישראל בדבורה אין להביאראיה דאשה כשירה לדון דשמא היו מקבלין אותה עליהם משום שכינה וא"ת בגיטין </w:t>
      </w:r>
      <w:r w:rsidRPr="2DCBFB90">
        <w:rPr>
          <w:rFonts w:eastAsia="Narkisim"/>
          <w:color w:val="008000"/>
          <w:rtl/>
        </w:rPr>
        <w:t>(ד' פח:)</w:t>
      </w:r>
      <w:r w:rsidRPr="2DCBFB90">
        <w:rPr>
          <w:rFonts w:eastAsia="Narkisim"/>
          <w:color w:val="1F3E51"/>
          <w:rtl/>
        </w:rPr>
        <w:t xml:space="preserve"> דרשינן לפניהם למעוטי הדיוטות והכא דרשינן לרבות אשה וי"ל דהתם ממעטמשום דלפניהם קאי אאלהים דכתיב בפרשה וא"ת בלא לפניהם תיפוק ליה דבעינן מומחים מאלהים ויש לומר דלפניהם איצטריך לכל דבר עישוי וכפייה אף על פי שאינו דיןדבעי מומחין וכן מוכח בפ"ק דסנהדרין </w:t>
      </w:r>
      <w:r w:rsidRPr="2DCBFB90">
        <w:rPr>
          <w:rFonts w:eastAsia="Narkisim"/>
          <w:color w:val="008000"/>
          <w:rtl/>
        </w:rPr>
        <w:t>(דף ז:)</w:t>
      </w:r>
      <w:r w:rsidRPr="2DCBFB90">
        <w:rPr>
          <w:rFonts w:eastAsia="Narkisim"/>
          <w:color w:val="1F3E51"/>
          <w:rtl/>
        </w:rPr>
        <w:t xml:space="preserve"> דדריש מאשר תשים אלו כלי הדיינין</w:t>
      </w:r>
      <w:r w:rsidRPr="2DCBFB90">
        <w:rPr>
          <w:rFonts w:eastAsia="Narkisim"/>
          <w:color w:val="1F3E51"/>
        </w:rPr>
        <w:t>.</w:t>
      </w:r>
    </w:p>
    <w:p w14:paraId="21AAF204" w14:textId="539921A9" w:rsidR="002158E5" w:rsidRDefault="002158E5" w:rsidP="00240099">
      <w:pPr>
        <w:pStyle w:val="Heading1"/>
        <w:rPr>
          <w:rtl/>
        </w:rPr>
      </w:pPr>
      <w:r>
        <w:rPr>
          <w:rFonts w:hint="cs"/>
          <w:rtl/>
        </w:rPr>
        <w:t xml:space="preserve">תוספות יבמות מה: ד"ה </w:t>
      </w:r>
      <w:r w:rsidRPr="002158E5">
        <w:rPr>
          <w:rtl/>
        </w:rPr>
        <w:t>מי לא טבלה לנדותה</w:t>
      </w:r>
      <w:r>
        <w:rPr>
          <w:rFonts w:hint="cs"/>
          <w:rtl/>
        </w:rPr>
        <w:t>,</w:t>
      </w:r>
      <w:r w:rsidR="005E7A2D">
        <w:rPr>
          <w:rFonts w:hint="cs"/>
          <w:rtl/>
        </w:rPr>
        <w:t xml:space="preserve"> שם</w:t>
      </w:r>
      <w:r>
        <w:rPr>
          <w:rFonts w:hint="cs"/>
          <w:rtl/>
        </w:rPr>
        <w:t xml:space="preserve"> מו: ד"ה </w:t>
      </w:r>
      <w:r w:rsidRPr="002158E5">
        <w:rPr>
          <w:rtl/>
        </w:rPr>
        <w:t>משפט כתיב ביה</w:t>
      </w:r>
      <w:r w:rsidR="00240099">
        <w:rPr>
          <w:rStyle w:val="FootnoteReference"/>
          <w:rtl/>
        </w:rPr>
        <w:footnoteReference w:id="1"/>
      </w:r>
    </w:p>
    <w:p w14:paraId="361335BB" w14:textId="77777777" w:rsidR="002158E5" w:rsidRDefault="002158E5" w:rsidP="002158E5">
      <w:pPr>
        <w:pStyle w:val="Heading1"/>
        <w:rPr>
          <w:rtl/>
        </w:rPr>
      </w:pPr>
      <w:r>
        <w:rPr>
          <w:rtl/>
        </w:rPr>
        <w:t xml:space="preserve">רמב"ם הלכות סנהדרין </w:t>
      </w:r>
      <w:r>
        <w:rPr>
          <w:rFonts w:hint="cs"/>
          <w:rtl/>
        </w:rPr>
        <w:t>ה:יח</w:t>
      </w:r>
    </w:p>
    <w:p w14:paraId="1A011C34" w14:textId="77777777" w:rsidR="002158E5" w:rsidRDefault="002158E5" w:rsidP="002158E5">
      <w:pPr>
        <w:rPr>
          <w:rtl/>
        </w:rPr>
      </w:pPr>
      <w:r w:rsidRPr="002158E5">
        <w:rPr>
          <w:rtl/>
        </w:rPr>
        <w:t xml:space="preserve">יחיד שהוא מומחה לרבים אע"פ שהוא דן דיני ממונות יחידי אין ההודאה בפניו הודאה בבית דין ואפילו היה </w:t>
      </w:r>
      <w:r w:rsidRPr="002158E5">
        <w:rPr>
          <w:rFonts w:hint="cs"/>
          <w:rtl/>
        </w:rPr>
        <w:t>סמוך</w:t>
      </w:r>
    </w:p>
    <w:p w14:paraId="2959B370" w14:textId="295ACF59" w:rsidR="004C0FC0" w:rsidRDefault="004C0FC0" w:rsidP="004C0FC0">
      <w:pPr>
        <w:pStyle w:val="Heading1"/>
        <w:rPr>
          <w:rtl/>
        </w:rPr>
      </w:pPr>
      <w:r>
        <w:rPr>
          <w:rFonts w:hint="cs"/>
          <w:rtl/>
        </w:rPr>
        <w:t xml:space="preserve">שם ב:י וע' בכ"מ </w:t>
      </w:r>
    </w:p>
    <w:p w14:paraId="19DC2EF8" w14:textId="5BFD4D64" w:rsidR="004C0FC0" w:rsidRDefault="004C0FC0" w:rsidP="004C0FC0">
      <w:pPr>
        <w:rPr>
          <w:rtl/>
        </w:rPr>
      </w:pPr>
      <w:r w:rsidRPr="004C0FC0">
        <w:rPr>
          <w:rtl/>
        </w:rPr>
        <w:t>אע"פ שאין בית דין פחות משלשה מותר לאחד לדון מן התורה שנאמר בצדק תשפוט עמיתך ומדבר</w:t>
      </w:r>
      <w:r>
        <w:rPr>
          <w:rtl/>
        </w:rPr>
        <w:t xml:space="preserve">י סופרים עד שיהיו שלשה, ושנים </w:t>
      </w:r>
      <w:r w:rsidRPr="004C0FC0">
        <w:rPr>
          <w:rtl/>
        </w:rPr>
        <w:t>שדנו אין דיניהן דין.</w:t>
      </w:r>
    </w:p>
    <w:p w14:paraId="20118A8F" w14:textId="07B7E92C" w:rsidR="004C0FC0" w:rsidRDefault="004C0FC0" w:rsidP="004C0FC0">
      <w:pPr>
        <w:pStyle w:val="Heading1"/>
        <w:rPr>
          <w:rtl/>
        </w:rPr>
      </w:pPr>
      <w:r>
        <w:rPr>
          <w:rFonts w:hint="cs"/>
          <w:rtl/>
        </w:rPr>
        <w:t>אור שמח שם</w:t>
      </w:r>
    </w:p>
    <w:p w14:paraId="665FE3ED" w14:textId="3834F4C2" w:rsidR="004C0FC0" w:rsidRPr="004C0FC0" w:rsidRDefault="004C0FC0" w:rsidP="00194102">
      <w:pPr>
        <w:rPr>
          <w:rtl/>
        </w:rPr>
      </w:pPr>
      <w:r w:rsidRPr="004C0FC0">
        <w:rPr>
          <w:rtl/>
        </w:rPr>
        <w:t>אם תעיין היטב בפרק ה' מוכח משם דסבר דמן התורה בעי יחיד סמוך בדיני ממונות, רק מדבריהם בעינן שלשה, ולכן שנים שדנו אין דיניהן דין אף בדעבד, דכן תקנו חכמים, משום דבחו"ל דליכא סמוכים, ורק דייני מ</w:t>
      </w:r>
      <w:r>
        <w:rPr>
          <w:rtl/>
        </w:rPr>
        <w:t>שום דשליחותייהו דארץ ישראל עבדי</w:t>
      </w:r>
      <w:r>
        <w:rPr>
          <w:rFonts w:hint="cs"/>
          <w:rtl/>
        </w:rPr>
        <w:t xml:space="preserve">... </w:t>
      </w:r>
      <w:r w:rsidRPr="004C0FC0">
        <w:rPr>
          <w:rtl/>
        </w:rPr>
        <w:t>א"כ בתרי דלא עבדי כדין בטלה שליחותייהו, ולכן אף בדיעבד לא הוי דין, ולכך לא אמר (סנהדרין ג' ע"א) דר' אבהו איכא בינייהו, דאמר (שם ב' ע"ב) שנים שדנו אין דיניהם דין, דכו"ע סברי כוותיה, רק דשמואל לא יתכן אליבא דרבא, ואזיל בשיטת רבינו חננאל בפירושו שפירש כן, דבר תורה חד נמי כשר, פירוש חד סמוך, אלא משום יושבי קרנות, פירוש יושבי קצות, או קצוצי פאה בלשון המקרא (ירמיה ט, כה), היינו יושבי ארצות רחוקות מארץ ישראל, דשם ליכא סמוכים, ורק משום דשליחותייהו עבדי, ולכן רק בשלשה דאיכא חד דגמיר נתנו רשות לדון, אבל משום ארץ ישראל דחד סמוך מן התורה כשר לא אמרו רבנן דיהא סגי בשלשה הדיוטות, רק משום דבחו"ל דשם ליכא סמוכין הוצרכו ליתן רשות לשלשה הדיוטים, לכן גם בארץ ישראל לא פלוג, ואמרו דדיני ממונות אותן שרשות לדון בחו"ל רשאים גם בארץ ישראל לדון בהדיוטים, ודוק.</w:t>
      </w:r>
    </w:p>
    <w:p w14:paraId="37A3C57E" w14:textId="1BD14547" w:rsidR="002158E5" w:rsidRDefault="00EC501A" w:rsidP="002158E5">
      <w:pPr>
        <w:pStyle w:val="Heading1"/>
      </w:pPr>
      <w:r>
        <w:rPr>
          <w:rFonts w:hint="cs"/>
          <w:rtl/>
        </w:rPr>
        <w:t xml:space="preserve">בבא קמא טו. ותוס' ד"ה </w:t>
      </w:r>
      <w:r w:rsidRPr="00EC501A">
        <w:rPr>
          <w:rtl/>
        </w:rPr>
        <w:t>אשר תשים לפניהם השוה הכתוב אשה לאיש</w:t>
      </w:r>
    </w:p>
    <w:p w14:paraId="31A66E69" w14:textId="45B4DD56" w:rsidR="00316467" w:rsidRPr="00316467" w:rsidRDefault="00316467" w:rsidP="00316467">
      <w:pPr>
        <w:pStyle w:val="Heading2"/>
      </w:pPr>
      <w:r>
        <w:rPr>
          <w:rFonts w:hint="cs"/>
          <w:rtl/>
        </w:rPr>
        <w:t>גינת אגוז סי' לח אות</w:t>
      </w:r>
      <w:bookmarkStart w:id="0" w:name="_GoBack"/>
      <w:bookmarkEnd w:id="0"/>
      <w:r>
        <w:rPr>
          <w:rFonts w:hint="cs"/>
          <w:rtl/>
        </w:rPr>
        <w:t xml:space="preserve"> ד</w:t>
      </w:r>
    </w:p>
    <w:p w14:paraId="0E8FD8A5" w14:textId="47A8ED90" w:rsidR="00EC501A" w:rsidRDefault="00EC501A" w:rsidP="00EC501A">
      <w:pPr>
        <w:pStyle w:val="Heading1"/>
        <w:rPr>
          <w:rtl/>
        </w:rPr>
      </w:pPr>
      <w:r>
        <w:rPr>
          <w:rFonts w:hint="cs"/>
          <w:rtl/>
        </w:rPr>
        <w:t>משנה שבועות ל.</w:t>
      </w:r>
    </w:p>
    <w:p w14:paraId="64017142" w14:textId="3656C0BA" w:rsidR="00C711BA" w:rsidRDefault="00C711BA" w:rsidP="00C711BA">
      <w:pPr>
        <w:pStyle w:val="Heading1"/>
        <w:rPr>
          <w:rtl/>
        </w:rPr>
      </w:pPr>
      <w:r>
        <w:rPr>
          <w:rtl/>
        </w:rPr>
        <w:lastRenderedPageBreak/>
        <w:t>נתיבות המשפט חידושים סימן לו</w:t>
      </w:r>
      <w:r>
        <w:rPr>
          <w:rFonts w:hint="cs"/>
          <w:rtl/>
        </w:rPr>
        <w:t>:י</w:t>
      </w:r>
    </w:p>
    <w:p w14:paraId="33B1D0ED" w14:textId="770467CD" w:rsidR="00EC501A" w:rsidRDefault="00C711BA" w:rsidP="00EC501A">
      <w:pPr>
        <w:rPr>
          <w:rtl/>
        </w:rPr>
      </w:pPr>
      <w:r w:rsidRPr="00C711BA">
        <w:rPr>
          <w:rtl/>
        </w:rPr>
        <w:t>דאלו לא נתכונו. הלשון אינו מדוקדק, דאפילו נתכונו, מכל מקום כיון שהפסול הוא מטעם נוגע, אינו בכלל קרוב או פסול, דנוגע הוא בגדר בעל דבר ולא בגדר עדות, ולא שייך לומר בזה עדות שבטלה מקצתה, דאינן בגדר עדות כלל. ש"ך [סקט"ו].</w:t>
      </w:r>
    </w:p>
    <w:p w14:paraId="392C63FB" w14:textId="7E3A87E0" w:rsidR="00C711BA" w:rsidRDefault="00C711BA" w:rsidP="00C711BA">
      <w:pPr>
        <w:pStyle w:val="Heading1"/>
        <w:rPr>
          <w:rtl/>
        </w:rPr>
      </w:pPr>
      <w:r>
        <w:rPr>
          <w:rtl/>
        </w:rPr>
        <w:t>רמב"ם הלכות סנהדרין ה</w:t>
      </w:r>
      <w:r w:rsidR="00827AEC">
        <w:rPr>
          <w:rFonts w:hint="cs"/>
          <w:rtl/>
        </w:rPr>
        <w:t>:</w:t>
      </w:r>
      <w:r>
        <w:rPr>
          <w:rFonts w:hint="cs"/>
          <w:rtl/>
        </w:rPr>
        <w:t>ח</w:t>
      </w:r>
    </w:p>
    <w:p w14:paraId="3738D0E3" w14:textId="25B23F8D" w:rsidR="007125F2" w:rsidRDefault="007125F2" w:rsidP="007125F2">
      <w:r>
        <w:rPr>
          <w:rtl/>
        </w:rPr>
        <w:t>דיני קנסות</w:t>
      </w:r>
      <w:r w:rsidRPr="007125F2">
        <w:rPr>
          <w:rtl/>
        </w:rPr>
        <w:t xml:space="preserve"> כגון גזילות וחבלות ותשלומי כפל ותשלומי ארבעה וחמשה והאונס והמפתה וכיוצא בהן אין דנין אותם אלא שלשה מומחים והם הסמוכין בארץ ישראל, אבל שאר דיני ממונות כגון הודאות והלואות אינן צריכין מומחה אלא אפילו שלשה הדיוטות ואפילו אחד מומחה דן אותן, לפיכך דנין בהודאות והלואות וכיוצא בהן בחוצה לארץ, אע"פ שאין בית דין של חוצה לארץ אלהים שליחות בית דין של ארץ ישראל עושין, ואין להן רשות לדון דיני קנסות בשליחותן.</w:t>
      </w:r>
    </w:p>
    <w:p w14:paraId="018598D1" w14:textId="26632150" w:rsidR="006465AF" w:rsidRPr="006465AF" w:rsidRDefault="00451831" w:rsidP="00B7251D">
      <w:pPr>
        <w:pStyle w:val="Heading1"/>
        <w:rPr>
          <w:rtl/>
        </w:rPr>
      </w:pPr>
      <w:r w:rsidRPr="00233F42">
        <w:rPr>
          <w:rFonts w:hint="cs"/>
          <w:rtl/>
        </w:rPr>
        <w:t>מתוך ספר ארץ הצבי – קונטרס הסמיכה</w:t>
      </w:r>
      <w:r>
        <w:rPr>
          <w:rFonts w:hint="cs"/>
          <w:rtl/>
        </w:rPr>
        <w:t>, עמ' רכה</w:t>
      </w:r>
      <w:r w:rsidR="002D3102">
        <w:rPr>
          <w:rFonts w:hint="cs"/>
          <w:rtl/>
        </w:rPr>
        <w:t xml:space="preserve">, </w:t>
      </w:r>
      <w:r w:rsidR="004C0FC0">
        <w:rPr>
          <w:rFonts w:hint="cs"/>
          <w:rtl/>
        </w:rPr>
        <w:t>ע"ע בספר שיעורי הרב</w:t>
      </w:r>
      <w:r w:rsidR="002D3102">
        <w:rPr>
          <w:rFonts w:hint="cs"/>
          <w:rtl/>
        </w:rPr>
        <w:t xml:space="preserve"> עמ' א' וי"ד</w:t>
      </w:r>
    </w:p>
    <w:p w14:paraId="470B8ECE" w14:textId="77777777" w:rsidR="00451831" w:rsidRPr="007125F2" w:rsidRDefault="00451831" w:rsidP="007125F2">
      <w:pPr>
        <w:rPr>
          <w:rtl/>
        </w:rPr>
      </w:pPr>
    </w:p>
    <w:sectPr w:rsidR="00451831" w:rsidRPr="007125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0137" w14:textId="77777777" w:rsidR="0071437D" w:rsidRDefault="0071437D" w:rsidP="00AE281B">
      <w:r>
        <w:separator/>
      </w:r>
    </w:p>
  </w:endnote>
  <w:endnote w:type="continuationSeparator" w:id="0">
    <w:p w14:paraId="0E59EB61" w14:textId="77777777" w:rsidR="0071437D" w:rsidRDefault="0071437D"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8D9F" w14:textId="77777777" w:rsidR="0071437D" w:rsidRDefault="0071437D">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7419D" w14:textId="77777777" w:rsidR="0071437D" w:rsidRDefault="0071437D" w:rsidP="00AE281B">
      <w:r>
        <w:separator/>
      </w:r>
    </w:p>
  </w:footnote>
  <w:footnote w:type="continuationSeparator" w:id="0">
    <w:p w14:paraId="67FD577B" w14:textId="77777777" w:rsidR="0071437D" w:rsidRDefault="0071437D" w:rsidP="00AE281B">
      <w:r>
        <w:continuationSeparator/>
      </w:r>
    </w:p>
  </w:footnote>
  <w:footnote w:id="1">
    <w:p w14:paraId="34AD327B" w14:textId="64446750" w:rsidR="0071437D" w:rsidRDefault="0071437D">
      <w:pPr>
        <w:pStyle w:val="FootnoteText"/>
      </w:pPr>
      <w:r>
        <w:rPr>
          <w:rStyle w:val="FootnoteReference"/>
        </w:rPr>
        <w:footnoteRef/>
      </w:r>
      <w:r>
        <w:rPr>
          <w:rtl/>
        </w:rPr>
        <w:t xml:space="preserve"> </w:t>
      </w:r>
      <w:r>
        <w:rPr>
          <w:rFonts w:hint="cs"/>
          <w:rtl/>
        </w:rPr>
        <w:t>ע"ע תוס' קידושין סב: ד"ה גר צריך שלשה  ושבועות כט: ד"ה שבועת העדות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D7C1" w14:textId="77777777" w:rsidR="0071437D" w:rsidRDefault="0071437D" w:rsidP="002158E5">
    <w:pPr>
      <w:pStyle w:val="Header"/>
      <w:bidi w:val="0"/>
    </w:pPr>
    <w:r>
      <w:rPr>
        <w:rFonts w:hint="cs"/>
        <w:rtl/>
      </w:rPr>
      <w:t xml:space="preserve"> מס' סנהדרין ב: - ג</w:t>
    </w:r>
    <w:r>
      <w:rPr>
        <w:rtl/>
      </w:rPr>
      <w:tab/>
    </w:r>
    <w:r w:rsidRPr="002158E5">
      <w:rPr>
        <w:rtl/>
      </w:rPr>
      <w:t xml:space="preserve">י' אלול תשע"ה </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316467">
      <w:rPr>
        <w:noProof/>
        <w:rtl/>
      </w:rPr>
      <w:t>‏י"א אלול תשע"ה</w:t>
    </w:r>
    <w:r>
      <w:rPr>
        <w:rtl/>
      </w:rPr>
      <w:fldChar w:fldCharType="end"/>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E5"/>
    <w:rsid w:val="000005CB"/>
    <w:rsid w:val="00114827"/>
    <w:rsid w:val="00125C0B"/>
    <w:rsid w:val="00194102"/>
    <w:rsid w:val="002158E5"/>
    <w:rsid w:val="00240099"/>
    <w:rsid w:val="002B5A91"/>
    <w:rsid w:val="002D3102"/>
    <w:rsid w:val="00316467"/>
    <w:rsid w:val="003C02F5"/>
    <w:rsid w:val="00451831"/>
    <w:rsid w:val="004C0FC0"/>
    <w:rsid w:val="00527574"/>
    <w:rsid w:val="005E7A2D"/>
    <w:rsid w:val="005F54E7"/>
    <w:rsid w:val="006465AF"/>
    <w:rsid w:val="007125F2"/>
    <w:rsid w:val="0071437D"/>
    <w:rsid w:val="007A4624"/>
    <w:rsid w:val="00827AEC"/>
    <w:rsid w:val="00897C91"/>
    <w:rsid w:val="008F2FC0"/>
    <w:rsid w:val="00956A5D"/>
    <w:rsid w:val="00995396"/>
    <w:rsid w:val="009D16FC"/>
    <w:rsid w:val="009E247D"/>
    <w:rsid w:val="00A1394D"/>
    <w:rsid w:val="00AE281B"/>
    <w:rsid w:val="00AF6D7E"/>
    <w:rsid w:val="00B7251D"/>
    <w:rsid w:val="00B97B87"/>
    <w:rsid w:val="00BC2476"/>
    <w:rsid w:val="00C227FC"/>
    <w:rsid w:val="00C402D8"/>
    <w:rsid w:val="00C711BA"/>
    <w:rsid w:val="00D40A69"/>
    <w:rsid w:val="00EC501A"/>
    <w:rsid w:val="00EC7C87"/>
    <w:rsid w:val="00FD4DE2"/>
    <w:rsid w:val="2DCBF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B9A56"/>
  <w15:chartTrackingRefBased/>
  <w15:docId w15:val="{D54AB641-6DF0-4D10-87A8-AD51A43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8F2FC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2FC0"/>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451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831"/>
    <w:rPr>
      <w:rFonts w:ascii="Narkisim" w:hAnsi="Narkisim" w:cs="Narkisim"/>
      <w:sz w:val="20"/>
      <w:szCs w:val="20"/>
    </w:rPr>
  </w:style>
  <w:style w:type="character" w:styleId="FootnoteReference">
    <w:name w:val="footnote reference"/>
    <w:basedOn w:val="DefaultParagraphFont"/>
    <w:uiPriority w:val="99"/>
    <w:semiHidden/>
    <w:unhideWhenUsed/>
    <w:rsid w:val="00451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1513;&#1497;&#1506;&#1493;&#1512;&#14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שיעורא</Template>
  <TotalTime>205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17</cp:revision>
  <dcterms:created xsi:type="dcterms:W3CDTF">2015-08-25T13:07:00Z</dcterms:created>
  <dcterms:modified xsi:type="dcterms:W3CDTF">2015-08-27T03:55:00Z</dcterms:modified>
</cp:coreProperties>
</file>