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9E486" w14:textId="77777777" w:rsidR="000005CB" w:rsidRPr="00AF6D7E" w:rsidRDefault="00B97B87" w:rsidP="0001287A">
      <w:pPr>
        <w:pStyle w:val="Title"/>
        <w:rPr>
          <w:rtl/>
        </w:rPr>
      </w:pPr>
      <w:r w:rsidRPr="008F2FC0">
        <w:rPr>
          <w:rFonts w:hint="cs"/>
          <w:rtl/>
        </w:rPr>
        <w:t>שיעור</w:t>
      </w:r>
      <w:r w:rsidRPr="00AF6D7E">
        <w:rPr>
          <w:rFonts w:hint="cs"/>
          <w:rtl/>
        </w:rPr>
        <w:t xml:space="preserve"> </w:t>
      </w:r>
      <w:r w:rsidR="009E247D" w:rsidRPr="00AF6D7E">
        <w:rPr>
          <w:rFonts w:hint="cs"/>
          <w:rtl/>
        </w:rPr>
        <w:t>ק</w:t>
      </w:r>
      <w:r w:rsidR="00527574">
        <w:rPr>
          <w:rFonts w:hint="cs"/>
          <w:rtl/>
        </w:rPr>
        <w:t>"</w:t>
      </w:r>
      <w:r w:rsidR="0001287A">
        <w:rPr>
          <w:rFonts w:hint="cs"/>
          <w:rtl/>
        </w:rPr>
        <w:t>ד - חזרה ה</w:t>
      </w:r>
      <w:r w:rsidR="00527574">
        <w:rPr>
          <w:rFonts w:hint="cs"/>
          <w:rtl/>
        </w:rPr>
        <w:t>'</w:t>
      </w:r>
    </w:p>
    <w:p w14:paraId="58D0B6FB" w14:textId="768108DC" w:rsidR="00EC7C87" w:rsidRDefault="0001287A" w:rsidP="008F2FC0">
      <w:pPr>
        <w:pStyle w:val="Subtitle"/>
        <w:rPr>
          <w:rtl/>
        </w:rPr>
      </w:pPr>
      <w:r>
        <w:rPr>
          <w:rFonts w:hint="cs"/>
          <w:rtl/>
        </w:rPr>
        <w:t xml:space="preserve">יוחסין, כהונה, זונה, תרי </w:t>
      </w:r>
      <w:r>
        <w:rPr>
          <w:rtl/>
        </w:rPr>
        <w:t>רובי</w:t>
      </w:r>
      <w:r w:rsidR="005272F8">
        <w:rPr>
          <w:rFonts w:hint="cs"/>
          <w:rtl/>
        </w:rPr>
        <w:t>, שתיקה כהודאה</w:t>
      </w:r>
    </w:p>
    <w:p w14:paraId="5A088DE7" w14:textId="77777777" w:rsidR="0001287A" w:rsidRDefault="0001287A" w:rsidP="0001287A">
      <w:pPr>
        <w:pStyle w:val="Heading1"/>
        <w:rPr>
          <w:sz w:val="29"/>
          <w:szCs w:val="29"/>
          <w:rtl/>
        </w:rPr>
      </w:pPr>
      <w:r>
        <w:rPr>
          <w:sz w:val="29"/>
          <w:szCs w:val="29"/>
          <w:rtl/>
        </w:rPr>
        <w:t>שו</w:t>
      </w:r>
      <w:r>
        <w:rPr>
          <w:sz w:val="29"/>
          <w:szCs w:val="29"/>
        </w:rPr>
        <w:t>"</w:t>
      </w:r>
      <w:r>
        <w:rPr>
          <w:sz w:val="29"/>
          <w:szCs w:val="29"/>
          <w:rtl/>
        </w:rPr>
        <w:t xml:space="preserve">ת חתם סופר קובץ תשובות סימן </w:t>
      </w:r>
      <w:r>
        <w:rPr>
          <w:rFonts w:hint="cs"/>
          <w:sz w:val="29"/>
          <w:szCs w:val="29"/>
          <w:rtl/>
        </w:rPr>
        <w:t>ס (</w:t>
      </w:r>
      <w:r w:rsidRPr="0001287A">
        <w:rPr>
          <w:rFonts w:hint="cs"/>
          <w:rtl/>
        </w:rPr>
        <w:t>ע"ש באריכות</w:t>
      </w:r>
      <w:r>
        <w:rPr>
          <w:rFonts w:hint="cs"/>
          <w:rtl/>
        </w:rPr>
        <w:t>)</w:t>
      </w:r>
    </w:p>
    <w:p w14:paraId="3DEFB0F9" w14:textId="030BB8C1" w:rsidR="00AF6D7E" w:rsidRDefault="00285D98" w:rsidP="00285D98">
      <w:pPr>
        <w:rPr>
          <w:shd w:val="clear" w:color="auto" w:fill="FFFFFF"/>
          <w:rtl/>
        </w:rPr>
      </w:pPr>
      <w:r>
        <w:rPr>
          <w:rFonts w:hint="cs"/>
          <w:shd w:val="clear" w:color="auto" w:fill="FFFFFF"/>
          <w:rtl/>
        </w:rPr>
        <w:t xml:space="preserve">ובקיצור: </w:t>
      </w:r>
      <w:r w:rsidR="0001287A">
        <w:rPr>
          <w:shd w:val="clear" w:color="auto" w:fill="FFFFFF"/>
          <w:rtl/>
        </w:rPr>
        <w:t>שו</w:t>
      </w:r>
      <w:r w:rsidR="0001287A">
        <w:rPr>
          <w:shd w:val="clear" w:color="auto" w:fill="FFFFFF"/>
        </w:rPr>
        <w:t>"</w:t>
      </w:r>
      <w:r w:rsidR="0001287A">
        <w:rPr>
          <w:shd w:val="clear" w:color="auto" w:fill="FFFFFF"/>
          <w:rtl/>
        </w:rPr>
        <w:t xml:space="preserve">ת חתם סופר חלק ד (אבן העזר ב) סימן </w:t>
      </w:r>
      <w:r w:rsidR="0001287A">
        <w:rPr>
          <w:rFonts w:hint="cs"/>
          <w:shd w:val="clear" w:color="auto" w:fill="FFFFFF"/>
          <w:rtl/>
        </w:rPr>
        <w:t>צג</w:t>
      </w:r>
      <w:r>
        <w:rPr>
          <w:rFonts w:hint="cs"/>
          <w:shd w:val="clear" w:color="auto" w:fill="FFFFFF"/>
          <w:rtl/>
        </w:rPr>
        <w:t xml:space="preserve"> - </w:t>
      </w:r>
      <w:r w:rsidR="0001287A" w:rsidRPr="00285D98">
        <w:rPr>
          <w:rtl/>
        </w:rPr>
        <w:t>והרי אפי' כהנים שבזמנינו אינם אלא כהני חזקה וא</w:t>
      </w:r>
      <w:r w:rsidR="0001287A" w:rsidRPr="00285D98">
        <w:t>"</w:t>
      </w:r>
      <w:r w:rsidR="0001287A" w:rsidRPr="00285D98">
        <w:rPr>
          <w:rtl/>
        </w:rPr>
        <w:t>כ לא משכחת לי' כלל בזה</w:t>
      </w:r>
      <w:r w:rsidR="0001287A" w:rsidRPr="00285D98">
        <w:t>"</w:t>
      </w:r>
      <w:r w:rsidR="0001287A" w:rsidRPr="00285D98">
        <w:rPr>
          <w:rtl/>
        </w:rPr>
        <w:t>ז י</w:t>
      </w:r>
      <w:r w:rsidR="0001287A" w:rsidRPr="00285D98">
        <w:t>"</w:t>
      </w:r>
      <w:r w:rsidR="0001287A" w:rsidRPr="00285D98">
        <w:rPr>
          <w:rtl/>
        </w:rPr>
        <w:t xml:space="preserve">ל היא הנותנת דהיכי דלא אפשר לא </w:t>
      </w:r>
      <w:r w:rsidR="0001287A" w:rsidRPr="00285D98">
        <w:rPr>
          <w:rFonts w:hint="cs"/>
          <w:rtl/>
        </w:rPr>
        <w:t>גזרו</w:t>
      </w:r>
    </w:p>
    <w:p w14:paraId="0CBBA7F0" w14:textId="35A38F20" w:rsidR="006B683F" w:rsidRDefault="006B683F" w:rsidP="0001287A">
      <w:pPr>
        <w:pStyle w:val="Heading1"/>
        <w:rPr>
          <w:rtl/>
        </w:rPr>
      </w:pPr>
      <w:r>
        <w:rPr>
          <w:rFonts w:hint="cs"/>
          <w:rtl/>
        </w:rPr>
        <w:t>תוספות נדה סו: ד"ה כל הראוי לבלי אין בילה מעכבת</w:t>
      </w:r>
    </w:p>
    <w:p w14:paraId="2F651175" w14:textId="77777777" w:rsidR="0001287A" w:rsidRPr="00A74586" w:rsidRDefault="0001287A" w:rsidP="0001287A">
      <w:pPr>
        <w:pStyle w:val="Heading1"/>
        <w:rPr>
          <w:lang w:bidi="ar-SA"/>
        </w:rPr>
      </w:pPr>
      <w:r w:rsidRPr="00A74586">
        <w:rPr>
          <w:rtl/>
        </w:rPr>
        <w:t>פתחי תשובה אבן העזר סימן יז ס</w:t>
      </w:r>
      <w:r w:rsidRPr="00A74586">
        <w:rPr>
          <w:rFonts w:cs="Times New Roman"/>
          <w:rtl/>
          <w:lang w:bidi="ar-SA"/>
        </w:rPr>
        <w:t>"</w:t>
      </w:r>
      <w:r w:rsidRPr="00A74586">
        <w:rPr>
          <w:rtl/>
        </w:rPr>
        <w:t>ק קלג</w:t>
      </w:r>
    </w:p>
    <w:p w14:paraId="535B768A" w14:textId="77777777" w:rsidR="0001287A" w:rsidRDefault="0001287A" w:rsidP="0001287A">
      <w:pPr>
        <w:rPr>
          <w:rtl/>
        </w:rPr>
      </w:pPr>
      <w:r w:rsidRPr="00A74586">
        <w:rPr>
          <w:b/>
          <w:bCs/>
          <w:rtl/>
        </w:rPr>
        <w:t>ועיין בת' קהלת יעקב מהגאון מקארלין סי' ט'</w:t>
      </w:r>
      <w:r w:rsidRPr="00A74586">
        <w:t xml:space="preserve">… </w:t>
      </w:r>
      <w:r w:rsidRPr="00A74586">
        <w:rPr>
          <w:rtl/>
        </w:rPr>
        <w:t>זכורני כי בימי חרפי עת היותי בית כבוד מו"ר הגאון מהר"ח ז"ל מוולאזין נשאלה שאלה כעין זו באחד שנפל מהגשר שהיה גבוה הרבה מהקרח ונפל מהגשר על הקרח ומהקרח לתוך המים ונאבד ולא נמצא וצידד להתיר מטעם תרי רובא היינו דנפילה גבוה ב' קומות רובן למיתה מהך דבית הסקילה כו'ומדין טריפות הנפולה שהוא הלל"מ ובהדי ריעותא דמים שאל"ס והאריך בזהבתשובה וכדומה שהותרה האשה אז בהסכמת כל חכמי ווילנא וידעתי כיימצא בזה צדדים להחמיר מאיזה תשובת האחרונים אך אין לחוש כ"כ במים שאל"ס דרבנן ויש לסמוך על המקילין במקום עיגון</w:t>
      </w:r>
      <w:r w:rsidRPr="00A74586">
        <w:rPr>
          <w:rFonts w:ascii="Arial" w:hAnsi="Arial" w:cs="Arial"/>
          <w:color w:val="000000"/>
        </w:rPr>
        <w:t xml:space="preserve"> </w:t>
      </w:r>
      <w:r w:rsidRPr="00A74586">
        <w:rPr>
          <w:rtl/>
        </w:rPr>
        <w:t>עכ"ל</w:t>
      </w:r>
      <w:r w:rsidRPr="00A74586">
        <w:rPr>
          <w:b/>
          <w:bCs/>
        </w:rPr>
        <w:t xml:space="preserve"> </w:t>
      </w:r>
      <w:r w:rsidRPr="00A74586">
        <w:rPr>
          <w:b/>
          <w:bCs/>
          <w:rtl/>
        </w:rPr>
        <w:t xml:space="preserve">וקצת חידוש בעיני </w:t>
      </w:r>
      <w:r w:rsidRPr="00A74586">
        <w:rPr>
          <w:rtl/>
        </w:rPr>
        <w:t>שלא הזכיר דברי התוס' ביבמות קכ"א ע"א בד"ה ולא היא דמבואר שםדאפילו בתרי רובא לא תנשא לכתחילה ע"ש מיהו אפשר לחלק וצ"ע</w:t>
      </w:r>
      <w:r>
        <w:rPr>
          <w:rStyle w:val="FootnoteReference"/>
          <w:rtl/>
        </w:rPr>
        <w:footnoteReference w:id="1"/>
      </w:r>
    </w:p>
    <w:p w14:paraId="76DF7F72" w14:textId="77777777" w:rsidR="0001287A" w:rsidRDefault="0001287A" w:rsidP="0001287A">
      <w:pPr>
        <w:pStyle w:val="Heading1"/>
      </w:pPr>
      <w:r w:rsidRPr="00A74586">
        <w:rPr>
          <w:rFonts w:hint="cs"/>
          <w:rtl/>
        </w:rPr>
        <w:t>שו"ת יביע אומר חלק ו - אבן העזר סימן ד</w:t>
      </w:r>
    </w:p>
    <w:p w14:paraId="6B72A1EE" w14:textId="26EC5C98" w:rsidR="005272F8" w:rsidRDefault="005272F8" w:rsidP="005272F8">
      <w:pPr>
        <w:pStyle w:val="Heading1"/>
        <w:rPr>
          <w:rtl/>
        </w:rPr>
      </w:pPr>
      <w:r w:rsidRPr="005272F8">
        <w:rPr>
          <w:rtl/>
        </w:rPr>
        <w:t xml:space="preserve">גנת אגוז עמוד </w:t>
      </w:r>
      <w:r w:rsidRPr="005272F8">
        <w:rPr>
          <w:rFonts w:hint="cs"/>
          <w:rtl/>
        </w:rPr>
        <w:t>כ</w:t>
      </w:r>
    </w:p>
    <w:p w14:paraId="0E993754" w14:textId="73C0345E" w:rsidR="005272F8" w:rsidRDefault="005272F8" w:rsidP="005272F8">
      <w:pPr>
        <w:pStyle w:val="Heading1"/>
        <w:rPr>
          <w:rtl/>
        </w:rPr>
      </w:pPr>
      <w:r>
        <w:rPr>
          <w:rFonts w:hint="cs"/>
          <w:rtl/>
        </w:rPr>
        <w:t>שו"ת נודע ביהודה מהדורא תניינא - אבן העזר סימן עז</w:t>
      </w:r>
    </w:p>
    <w:p w14:paraId="2FA5EC6A" w14:textId="77777777" w:rsidR="005272F8" w:rsidRDefault="005272F8" w:rsidP="005272F8">
      <w:pPr>
        <w:pStyle w:val="Heading1"/>
        <w:rPr>
          <w:rtl/>
        </w:rPr>
      </w:pPr>
      <w:r>
        <w:rPr>
          <w:rtl/>
        </w:rPr>
        <w:t xml:space="preserve">רמב"ם הלכות איסורי ביאה טו:כז </w:t>
      </w:r>
    </w:p>
    <w:p w14:paraId="0B6B7880" w14:textId="77777777" w:rsidR="005272F8" w:rsidRDefault="005272F8" w:rsidP="005272F8">
      <w:pPr>
        <w:rPr>
          <w:rtl/>
        </w:rPr>
      </w:pPr>
      <w:r>
        <w:rPr>
          <w:rtl/>
        </w:rPr>
        <w:t>יראה לי שכל מדינה שיש בה שפחה או עכו"ם הראויה לילד הואיל והאסופיהנמצא שם ספק עכו"ם או ספק עבד כשישא הגיורת כמו שביארנו הרי זוספק אשת איש והבא עליה פטור שאין הורגין על ספק, וכן יראה לישהשתוקי שנשא אשה שאפשר שהיא ערוה עליו והרי היא ספק אשת איששאין קידושין תופסין בעריות. +/השגת הראב"ד/ יראה לי וכו'. כתב הראב"ד ז"ל/א"א/ מצאנו במס' סנהדרין שהולכין בדיני נפשות אחר הרוב ובמס' מכשירין ר' יהודההיא שאמר כן שאם היתה שם שפחה או עכו"ם היא חשודה להשליך עכ"ל.+</w:t>
      </w:r>
    </w:p>
    <w:p w14:paraId="1A46681C" w14:textId="2F2D44DB" w:rsidR="00463D2E" w:rsidRDefault="00463D2E" w:rsidP="00463D2E">
      <w:pPr>
        <w:pStyle w:val="Heading1"/>
      </w:pPr>
      <w:bookmarkStart w:id="0" w:name="_GoBack"/>
      <w:bookmarkEnd w:id="0"/>
      <w:r>
        <w:rPr>
          <w:rtl/>
        </w:rPr>
        <w:t>תוספות מסכת סנהדרין דף פ עמוד ב</w:t>
      </w:r>
    </w:p>
    <w:p w14:paraId="4EB79447" w14:textId="28DD4DE1" w:rsidR="005272F8" w:rsidRDefault="00463D2E" w:rsidP="005272F8">
      <w:r w:rsidRPr="00463D2E">
        <w:rPr>
          <w:rtl/>
        </w:rPr>
        <w:t>הנסקלין בנשרפין - שאל הרב ר' יצחק בן הרב ר' מרדכי את רבינו תם אמאי קאמר רבי שמעון ידונו בסקילה שהשריפה חמורה ניזיל בתר רובא להחמיר בדיני נפשות כדאיתא בפרק קמא דחולין (דף יא.) ותירץ דלא אזלינן בתר רובא לחייב אותו שהוא זכאי מכל וכל שלא הרג כלל ולא דמי לאותן שהרגו ודאי אלא</w:t>
      </w:r>
    </w:p>
    <w:p w14:paraId="61261088" w14:textId="77777777" w:rsidR="00CC6AE2" w:rsidRDefault="00CC6AE2" w:rsidP="00CC6AE2">
      <w:pPr>
        <w:pStyle w:val="Heading1"/>
        <w:rPr>
          <w:rtl/>
        </w:rPr>
      </w:pPr>
      <w:r w:rsidRPr="00EC54F8">
        <w:rPr>
          <w:rFonts w:hint="cs"/>
          <w:rtl/>
        </w:rPr>
        <w:t>מלחמת</w:t>
      </w:r>
      <w:r w:rsidRPr="00EC54F8">
        <w:rPr>
          <w:rtl/>
        </w:rPr>
        <w:t xml:space="preserve"> </w:t>
      </w:r>
      <w:r w:rsidRPr="00EC54F8">
        <w:rPr>
          <w:rFonts w:hint="cs"/>
          <w:rtl/>
        </w:rPr>
        <w:t>ה</w:t>
      </w:r>
      <w:r w:rsidRPr="00EC54F8">
        <w:rPr>
          <w:rtl/>
        </w:rPr>
        <w:t xml:space="preserve">' </w:t>
      </w:r>
      <w:r w:rsidRPr="00EC54F8">
        <w:rPr>
          <w:rFonts w:hint="cs"/>
          <w:rtl/>
        </w:rPr>
        <w:t>מסכת</w:t>
      </w:r>
      <w:r w:rsidRPr="00EC54F8">
        <w:rPr>
          <w:rtl/>
        </w:rPr>
        <w:t xml:space="preserve"> </w:t>
      </w:r>
      <w:r w:rsidRPr="00EC54F8">
        <w:rPr>
          <w:rFonts w:hint="cs"/>
          <w:rtl/>
        </w:rPr>
        <w:t>ברכות</w:t>
      </w:r>
      <w:r w:rsidRPr="00EC54F8">
        <w:rPr>
          <w:rtl/>
        </w:rPr>
        <w:t xml:space="preserve"> </w:t>
      </w:r>
      <w:r w:rsidRPr="00EC54F8">
        <w:rPr>
          <w:rFonts w:hint="cs"/>
          <w:rtl/>
        </w:rPr>
        <w:t>דף</w:t>
      </w:r>
      <w:r w:rsidRPr="00EC54F8">
        <w:rPr>
          <w:rtl/>
        </w:rPr>
        <w:t xml:space="preserve"> </w:t>
      </w:r>
      <w:r w:rsidRPr="00EC54F8">
        <w:rPr>
          <w:rFonts w:hint="cs"/>
          <w:rtl/>
        </w:rPr>
        <w:t>ב</w:t>
      </w:r>
      <w:r w:rsidRPr="00EC54F8">
        <w:rPr>
          <w:rtl/>
        </w:rPr>
        <w:t xml:space="preserve"> </w:t>
      </w:r>
      <w:r w:rsidRPr="00EC54F8">
        <w:rPr>
          <w:rFonts w:hint="cs"/>
          <w:rtl/>
        </w:rPr>
        <w:t>עמוד</w:t>
      </w:r>
      <w:r w:rsidRPr="00EC54F8">
        <w:rPr>
          <w:rtl/>
        </w:rPr>
        <w:t xml:space="preserve"> </w:t>
      </w:r>
      <w:r w:rsidRPr="00EC54F8">
        <w:rPr>
          <w:rFonts w:hint="cs"/>
          <w:rtl/>
        </w:rPr>
        <w:t>ב</w:t>
      </w:r>
      <w:r w:rsidRPr="00EC54F8">
        <w:rPr>
          <w:rtl/>
        </w:rPr>
        <w:t xml:space="preserve"> </w:t>
      </w:r>
    </w:p>
    <w:p w14:paraId="7AB6A3C4" w14:textId="374F4E08" w:rsidR="00CC6AE2" w:rsidRDefault="00CC6AE2" w:rsidP="00CC6AE2">
      <w:r w:rsidRPr="00EC54F8">
        <w:rPr>
          <w:rFonts w:hint="cs"/>
          <w:rtl/>
        </w:rPr>
        <w:t>לענין</w:t>
      </w:r>
      <w:r w:rsidRPr="00EC54F8">
        <w:rPr>
          <w:rtl/>
        </w:rPr>
        <w:t xml:space="preserve"> </w:t>
      </w:r>
      <w:r w:rsidRPr="00EC54F8">
        <w:rPr>
          <w:rFonts w:hint="cs"/>
          <w:rtl/>
        </w:rPr>
        <w:t>ק</w:t>
      </w:r>
      <w:r w:rsidRPr="00EC54F8">
        <w:rPr>
          <w:rtl/>
        </w:rPr>
        <w:t>"</w:t>
      </w:r>
      <w:r w:rsidRPr="00EC54F8">
        <w:rPr>
          <w:rFonts w:hint="cs"/>
          <w:rtl/>
        </w:rPr>
        <w:t>ש</w:t>
      </w:r>
      <w:r w:rsidRPr="00EC54F8">
        <w:rPr>
          <w:rtl/>
        </w:rPr>
        <w:t xml:space="preserve"> </w:t>
      </w:r>
      <w:r w:rsidRPr="00EC54F8">
        <w:rPr>
          <w:rFonts w:hint="cs"/>
          <w:rtl/>
        </w:rPr>
        <w:t>דשחרית</w:t>
      </w:r>
      <w:r w:rsidRPr="00EC54F8">
        <w:rPr>
          <w:rtl/>
        </w:rPr>
        <w:t xml:space="preserve"> </w:t>
      </w:r>
      <w:r w:rsidRPr="00EC54F8">
        <w:rPr>
          <w:rFonts w:hint="cs"/>
          <w:rtl/>
        </w:rPr>
        <w:t>אע</w:t>
      </w:r>
      <w:r w:rsidRPr="00EC54F8">
        <w:rPr>
          <w:rtl/>
        </w:rPr>
        <w:t>"</w:t>
      </w:r>
      <w:r w:rsidRPr="00EC54F8">
        <w:rPr>
          <w:rFonts w:hint="cs"/>
          <w:rtl/>
        </w:rPr>
        <w:t>ג</w:t>
      </w:r>
      <w:r w:rsidRPr="00EC54F8">
        <w:rPr>
          <w:rtl/>
        </w:rPr>
        <w:t xml:space="preserve"> </w:t>
      </w:r>
      <w:r w:rsidRPr="00EC54F8">
        <w:rPr>
          <w:rFonts w:hint="cs"/>
          <w:rtl/>
        </w:rPr>
        <w:t>דבעי</w:t>
      </w:r>
      <w:r w:rsidRPr="00EC54F8">
        <w:rPr>
          <w:rtl/>
        </w:rPr>
        <w:t xml:space="preserve">' </w:t>
      </w:r>
      <w:r w:rsidRPr="00EC54F8">
        <w:rPr>
          <w:rFonts w:hint="cs"/>
          <w:rtl/>
        </w:rPr>
        <w:t>בקר</w:t>
      </w:r>
      <w:r w:rsidRPr="00EC54F8">
        <w:rPr>
          <w:rtl/>
        </w:rPr>
        <w:t xml:space="preserve"> </w:t>
      </w:r>
      <w:r w:rsidRPr="00EC54F8">
        <w:rPr>
          <w:rFonts w:hint="cs"/>
          <w:rtl/>
        </w:rPr>
        <w:t>ואינה</w:t>
      </w:r>
      <w:r w:rsidRPr="00EC54F8">
        <w:rPr>
          <w:rtl/>
        </w:rPr>
        <w:t xml:space="preserve"> </w:t>
      </w:r>
      <w:r w:rsidRPr="00EC54F8">
        <w:rPr>
          <w:rFonts w:hint="cs"/>
          <w:rtl/>
        </w:rPr>
        <w:t>כל</w:t>
      </w:r>
      <w:r w:rsidRPr="00EC54F8">
        <w:rPr>
          <w:rtl/>
        </w:rPr>
        <w:t xml:space="preserve"> </w:t>
      </w:r>
      <w:r w:rsidRPr="00EC54F8">
        <w:rPr>
          <w:rFonts w:hint="cs"/>
          <w:rtl/>
        </w:rPr>
        <w:t>היוםכיון</w:t>
      </w:r>
      <w:r w:rsidRPr="00EC54F8">
        <w:rPr>
          <w:rtl/>
        </w:rPr>
        <w:t xml:space="preserve"> </w:t>
      </w:r>
      <w:r w:rsidRPr="00EC54F8">
        <w:rPr>
          <w:rFonts w:hint="cs"/>
          <w:rtl/>
        </w:rPr>
        <w:t>דכתיב</w:t>
      </w:r>
      <w:r w:rsidRPr="00EC54F8">
        <w:rPr>
          <w:rtl/>
        </w:rPr>
        <w:t xml:space="preserve"> </w:t>
      </w:r>
      <w:r w:rsidRPr="00EC54F8">
        <w:rPr>
          <w:rFonts w:hint="cs"/>
          <w:rtl/>
        </w:rPr>
        <w:t>בקומך</w:t>
      </w:r>
      <w:r w:rsidRPr="00EC54F8">
        <w:rPr>
          <w:rtl/>
        </w:rPr>
        <w:t xml:space="preserve"> </w:t>
      </w:r>
      <w:r w:rsidRPr="00EC54F8">
        <w:rPr>
          <w:rFonts w:hint="cs"/>
          <w:rtl/>
        </w:rPr>
        <w:t>ורובא</w:t>
      </w:r>
      <w:r w:rsidRPr="00EC54F8">
        <w:rPr>
          <w:rtl/>
        </w:rPr>
        <w:t xml:space="preserve"> </w:t>
      </w:r>
      <w:r w:rsidRPr="00EC54F8">
        <w:rPr>
          <w:rFonts w:hint="cs"/>
          <w:rtl/>
        </w:rPr>
        <w:t>דאינשי</w:t>
      </w:r>
      <w:r w:rsidRPr="00EC54F8">
        <w:rPr>
          <w:rtl/>
        </w:rPr>
        <w:t xml:space="preserve"> </w:t>
      </w:r>
      <w:r w:rsidRPr="00EC54F8">
        <w:rPr>
          <w:rFonts w:hint="cs"/>
          <w:rtl/>
        </w:rPr>
        <w:t>לא</w:t>
      </w:r>
      <w:r w:rsidRPr="00EC54F8">
        <w:rPr>
          <w:rtl/>
        </w:rPr>
        <w:t xml:space="preserve"> </w:t>
      </w:r>
      <w:r w:rsidRPr="00EC54F8">
        <w:rPr>
          <w:rFonts w:hint="cs"/>
          <w:rtl/>
        </w:rPr>
        <w:t>קיימי</w:t>
      </w:r>
      <w:r w:rsidRPr="00EC54F8">
        <w:rPr>
          <w:rtl/>
        </w:rPr>
        <w:t xml:space="preserve"> </w:t>
      </w:r>
      <w:r w:rsidRPr="00EC54F8">
        <w:rPr>
          <w:rFonts w:hint="cs"/>
          <w:rtl/>
        </w:rPr>
        <w:t>עד</w:t>
      </w:r>
      <w:r w:rsidRPr="00EC54F8">
        <w:rPr>
          <w:rtl/>
        </w:rPr>
        <w:t xml:space="preserve"> </w:t>
      </w:r>
      <w:r w:rsidRPr="00EC54F8">
        <w:rPr>
          <w:rFonts w:hint="cs"/>
          <w:rtl/>
        </w:rPr>
        <w:t>שיכיר</w:t>
      </w:r>
      <w:r w:rsidRPr="00EC54F8">
        <w:rPr>
          <w:rtl/>
        </w:rPr>
        <w:t xml:space="preserve"> אחד את חבירו… דיעבד יצא משום דמיעוטא דאינשי קיימי בההיא שעתא וכתיבבקומך בקומך דידך והך סברא שייכא לה בסברא דידיה דאמר משמיה דרביה דכי היכי דהתם חיישינן למיעוטא דגנו מדכתיב בשכבך אף הכא נמי חיישינן למיעוטא דקיימי מדכתיב בקומך</w:t>
      </w:r>
    </w:p>
    <w:p w14:paraId="5C9F3374" w14:textId="25D1E689" w:rsidR="006E1DCC" w:rsidRPr="005272F8" w:rsidRDefault="006E1DCC" w:rsidP="00285D98">
      <w:pPr>
        <w:pStyle w:val="Heading1"/>
      </w:pPr>
      <w:r>
        <w:rPr>
          <w:rFonts w:hint="cs"/>
          <w:rtl/>
        </w:rPr>
        <w:t>שב שמעתתא ד:ח</w:t>
      </w:r>
    </w:p>
    <w:sectPr w:rsidR="006E1DCC" w:rsidRPr="005272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FE59B" w14:textId="77777777" w:rsidR="006E1DCC" w:rsidRDefault="006E1DCC" w:rsidP="00AE281B">
      <w:r>
        <w:separator/>
      </w:r>
    </w:p>
  </w:endnote>
  <w:endnote w:type="continuationSeparator" w:id="0">
    <w:p w14:paraId="0BC56D1C" w14:textId="77777777" w:rsidR="006E1DCC" w:rsidRDefault="006E1DCC"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C6D9" w14:textId="77777777" w:rsidR="006E1DCC" w:rsidRDefault="006E1DCC">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DBC9" w14:textId="77777777" w:rsidR="006E1DCC" w:rsidRDefault="006E1DCC" w:rsidP="00AE281B">
      <w:r>
        <w:separator/>
      </w:r>
    </w:p>
  </w:footnote>
  <w:footnote w:type="continuationSeparator" w:id="0">
    <w:p w14:paraId="48B87A4D" w14:textId="77777777" w:rsidR="006E1DCC" w:rsidRDefault="006E1DCC" w:rsidP="00AE281B">
      <w:r>
        <w:continuationSeparator/>
      </w:r>
    </w:p>
  </w:footnote>
  <w:footnote w:id="1">
    <w:p w14:paraId="598B7BCC" w14:textId="77777777" w:rsidR="006E1DCC" w:rsidRDefault="006E1DCC" w:rsidP="0001287A">
      <w:pPr>
        <w:pStyle w:val="FootnoteText"/>
        <w:rPr>
          <w:rStyle w:val="Hyperlink"/>
          <w:rtl/>
        </w:rPr>
      </w:pPr>
      <w:r>
        <w:rPr>
          <w:rStyle w:val="FootnoteReference"/>
        </w:rPr>
        <w:footnoteRef/>
      </w:r>
      <w:r>
        <w:rPr>
          <w:rtl/>
        </w:rPr>
        <w:t xml:space="preserve"> </w:t>
      </w:r>
      <w:r>
        <w:t xml:space="preserve">See </w:t>
      </w:r>
      <w:hyperlink r:id="rId1" w:history="1">
        <w:r w:rsidRPr="00A74586">
          <w:rPr>
            <w:rStyle w:val="Hyperlink"/>
          </w:rPr>
          <w:t>The Teshuva Rav Ovadia wrote Rav Willig to be mattir the Sepharadi 9-11 Agunah</w:t>
        </w:r>
      </w:hyperlink>
    </w:p>
    <w:p w14:paraId="57192F54" w14:textId="13531922" w:rsidR="006E1DCC" w:rsidRPr="00A74586" w:rsidRDefault="006E1DCC" w:rsidP="00CC6AE2">
      <w:pPr>
        <w:pStyle w:val="Heading1"/>
      </w:pPr>
      <w:r w:rsidRPr="005F7187">
        <w:rPr>
          <w:rtl/>
        </w:rPr>
        <w:t>יביע אומר חלק ט </w:t>
      </w:r>
      <w:r>
        <w:rPr>
          <w:rFonts w:hint="cs"/>
          <w:rtl/>
        </w:rPr>
        <w:t xml:space="preserve">אבן העזר </w:t>
      </w:r>
      <w:r w:rsidRPr="005F7187">
        <w:rPr>
          <w:rtl/>
        </w:rPr>
        <w:t>סימן יח עמוד תג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20E6" w14:textId="6FD0B3AF" w:rsidR="006E1DCC" w:rsidRDefault="006E1DCC" w:rsidP="00527574">
    <w:pPr>
      <w:pStyle w:val="Header"/>
      <w:bidi w:val="0"/>
    </w:pPr>
    <w:r>
      <w:rPr>
        <w:rFonts w:hint="cs"/>
        <w:rtl/>
      </w:rPr>
      <w:t xml:space="preserve"> מס' כתובות יד.:</w:t>
    </w:r>
    <w:r>
      <w:rPr>
        <w:rtl/>
      </w:rPr>
      <w:tab/>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467984">
      <w:rPr>
        <w:noProof/>
        <w:rtl/>
      </w:rPr>
      <w:t>‏ט"ו אייר תשע"ה</w:t>
    </w:r>
    <w:r>
      <w:rPr>
        <w:rtl/>
      </w:rPr>
      <w:fldChar w:fldCharType="end"/>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7A"/>
    <w:rsid w:val="000005CB"/>
    <w:rsid w:val="0001287A"/>
    <w:rsid w:val="00125C0B"/>
    <w:rsid w:val="00285D98"/>
    <w:rsid w:val="002B5A91"/>
    <w:rsid w:val="00463D2E"/>
    <w:rsid w:val="00467984"/>
    <w:rsid w:val="005272F8"/>
    <w:rsid w:val="00527574"/>
    <w:rsid w:val="005F7187"/>
    <w:rsid w:val="006B683F"/>
    <w:rsid w:val="006E1DCC"/>
    <w:rsid w:val="007A4624"/>
    <w:rsid w:val="008F2FC0"/>
    <w:rsid w:val="00956A5D"/>
    <w:rsid w:val="00995396"/>
    <w:rsid w:val="009E247D"/>
    <w:rsid w:val="00AE281B"/>
    <w:rsid w:val="00AF6D7E"/>
    <w:rsid w:val="00B97B87"/>
    <w:rsid w:val="00BC2476"/>
    <w:rsid w:val="00C227FC"/>
    <w:rsid w:val="00C402D8"/>
    <w:rsid w:val="00CC6AE2"/>
    <w:rsid w:val="00D40A69"/>
    <w:rsid w:val="00D71857"/>
    <w:rsid w:val="00EC7C87"/>
    <w:rsid w:val="00F1265D"/>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C9F2"/>
  <w15:chartTrackingRefBased/>
  <w15:docId w15:val="{22BBEB03-DB99-440E-85E9-4CA86154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paragraph" w:styleId="Heading3">
    <w:name w:val="heading 3"/>
    <w:basedOn w:val="Normal"/>
    <w:next w:val="Normal"/>
    <w:link w:val="Heading3Char"/>
    <w:uiPriority w:val="9"/>
    <w:unhideWhenUsed/>
    <w:qFormat/>
    <w:rsid w:val="006E1D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styleId="Hyperlink">
    <w:name w:val="Hyperlink"/>
    <w:basedOn w:val="DefaultParagraphFont"/>
    <w:uiPriority w:val="99"/>
    <w:unhideWhenUsed/>
    <w:rsid w:val="0001287A"/>
    <w:rPr>
      <w:color w:val="0000FF"/>
      <w:u w:val="single"/>
    </w:rPr>
  </w:style>
  <w:style w:type="paragraph" w:styleId="FootnoteText">
    <w:name w:val="footnote text"/>
    <w:basedOn w:val="Normal"/>
    <w:link w:val="FootnoteTextChar"/>
    <w:uiPriority w:val="99"/>
    <w:semiHidden/>
    <w:unhideWhenUsed/>
    <w:rsid w:val="00012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87A"/>
    <w:rPr>
      <w:rFonts w:ascii="Narkisim" w:hAnsi="Narkisim" w:cs="Narkisim"/>
      <w:sz w:val="20"/>
      <w:szCs w:val="20"/>
    </w:rPr>
  </w:style>
  <w:style w:type="character" w:styleId="FootnoteReference">
    <w:name w:val="footnote reference"/>
    <w:basedOn w:val="DefaultParagraphFont"/>
    <w:uiPriority w:val="99"/>
    <w:semiHidden/>
    <w:unhideWhenUsed/>
    <w:rsid w:val="0001287A"/>
    <w:rPr>
      <w:vertAlign w:val="superscript"/>
    </w:rPr>
  </w:style>
  <w:style w:type="character" w:customStyle="1" w:styleId="Heading3Char">
    <w:name w:val="Heading 3 Char"/>
    <w:basedOn w:val="DefaultParagraphFont"/>
    <w:link w:val="Heading3"/>
    <w:uiPriority w:val="9"/>
    <w:rsid w:val="006E1D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366492850">
      <w:bodyDiv w:val="1"/>
      <w:marLeft w:val="0"/>
      <w:marRight w:val="0"/>
      <w:marTop w:val="0"/>
      <w:marBottom w:val="0"/>
      <w:divBdr>
        <w:top w:val="none" w:sz="0" w:space="0" w:color="auto"/>
        <w:left w:val="none" w:sz="0" w:space="0" w:color="auto"/>
        <w:bottom w:val="none" w:sz="0" w:space="0" w:color="auto"/>
        <w:right w:val="none" w:sz="0" w:space="0" w:color="auto"/>
      </w:divBdr>
      <w:divsChild>
        <w:div w:id="192114666">
          <w:marLeft w:val="0"/>
          <w:marRight w:val="-45"/>
          <w:marTop w:val="0"/>
          <w:marBottom w:val="0"/>
          <w:divBdr>
            <w:top w:val="none" w:sz="0" w:space="0" w:color="auto"/>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28911629">
      <w:bodyDiv w:val="1"/>
      <w:marLeft w:val="0"/>
      <w:marRight w:val="0"/>
      <w:marTop w:val="0"/>
      <w:marBottom w:val="0"/>
      <w:divBdr>
        <w:top w:val="none" w:sz="0" w:space="0" w:color="auto"/>
        <w:left w:val="none" w:sz="0" w:space="0" w:color="auto"/>
        <w:bottom w:val="none" w:sz="0" w:space="0" w:color="auto"/>
        <w:right w:val="none" w:sz="0" w:space="0" w:color="auto"/>
      </w:divBdr>
      <w:divsChild>
        <w:div w:id="1508982417">
          <w:marLeft w:val="0"/>
          <w:marRight w:val="-45"/>
          <w:marTop w:val="0"/>
          <w:marBottom w:val="0"/>
          <w:divBdr>
            <w:top w:val="none" w:sz="0" w:space="0" w:color="auto"/>
            <w:left w:val="none" w:sz="0" w:space="0" w:color="auto"/>
            <w:bottom w:val="none" w:sz="0" w:space="0" w:color="auto"/>
            <w:right w:val="none" w:sz="0" w:space="0" w:color="auto"/>
          </w:divBdr>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727369/Rabbi_Ovadia_Yosef/%D7%94%D7%AA%D7%A8%D7%AA_%D7%A2%D7%92%D7%95%D7%A0%D7%94_%D7%9E%D7%91%D7%A0%D7%99%D7%A0%D7%99_%D7%94%D7%AA%D7%90%D7%95%D7%9E%D7%99%D7%9D_%D7%91%D7%90%D7%A8%D7%94%2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223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11</cp:revision>
  <dcterms:created xsi:type="dcterms:W3CDTF">2015-05-04T17:21:00Z</dcterms:created>
  <dcterms:modified xsi:type="dcterms:W3CDTF">2015-05-05T03:33:00Z</dcterms:modified>
</cp:coreProperties>
</file>