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EC761" w14:textId="5391360F" w:rsidR="00A02F84" w:rsidRPr="00AF6D7E" w:rsidRDefault="00A02F84" w:rsidP="00A02F84">
      <w:pPr>
        <w:pStyle w:val="Title"/>
        <w:rPr>
          <w:rtl/>
        </w:rPr>
      </w:pPr>
      <w:r w:rsidRPr="008F2FC0">
        <w:rPr>
          <w:rFonts w:hint="cs"/>
          <w:rtl/>
        </w:rPr>
        <w:t>שיעור</w:t>
      </w:r>
      <w:r w:rsidRPr="00AF6D7E">
        <w:rPr>
          <w:rFonts w:hint="cs"/>
          <w:rtl/>
        </w:rPr>
        <w:t xml:space="preserve"> ק</w:t>
      </w:r>
      <w:r>
        <w:rPr>
          <w:rFonts w:hint="cs"/>
          <w:rtl/>
        </w:rPr>
        <w:t>"ה - חזרה ו'</w:t>
      </w:r>
      <w:r w:rsidR="00063F22">
        <w:rPr>
          <w:rStyle w:val="FootnoteReference"/>
          <w:rtl/>
        </w:rPr>
        <w:footnoteReference w:id="1"/>
      </w:r>
    </w:p>
    <w:p w14:paraId="5EAEFFE8" w14:textId="2BADA49D" w:rsidR="002807E6" w:rsidRDefault="00A02F84" w:rsidP="00A02F84">
      <w:pPr>
        <w:pStyle w:val="Subtitle"/>
        <w:rPr>
          <w:rtl/>
        </w:rPr>
      </w:pPr>
      <w:r>
        <w:rPr>
          <w:rFonts w:hint="cs"/>
          <w:rtl/>
        </w:rPr>
        <w:t>איבה, אסופי</w:t>
      </w:r>
    </w:p>
    <w:p w14:paraId="575B755B" w14:textId="77777777" w:rsidR="00324C99" w:rsidRDefault="00324C99" w:rsidP="00324C99">
      <w:pPr>
        <w:pStyle w:val="Heading1"/>
        <w:rPr>
          <w:rtl/>
        </w:rPr>
      </w:pPr>
      <w:r>
        <w:rPr>
          <w:rtl/>
        </w:rPr>
        <w:t>שו"ת חתם סופר חלק ה - השמטות סימן קצד</w:t>
      </w:r>
    </w:p>
    <w:p w14:paraId="6AB2047D" w14:textId="77777777" w:rsidR="00324C99" w:rsidRDefault="00324C99" w:rsidP="00324C99">
      <w:pPr>
        <w:pStyle w:val="Heading1"/>
        <w:rPr>
          <w:color w:val="auto"/>
          <w:sz w:val="22"/>
          <w:szCs w:val="22"/>
          <w:shd w:val="clear" w:color="auto" w:fill="auto"/>
          <w:rtl/>
        </w:rPr>
      </w:pPr>
      <w:r w:rsidRPr="00CD6322">
        <w:rPr>
          <w:color w:val="auto"/>
          <w:sz w:val="22"/>
          <w:szCs w:val="22"/>
          <w:shd w:val="clear" w:color="auto" w:fill="auto"/>
          <w:rtl/>
        </w:rPr>
        <w:t xml:space="preserve">  ע"ד רופא יהודי הקבוע לרפאות בשכר ונוסע על העגלה ביום ש"ק לפקח על נפשות חולי יהודים ועובדי ככבים אם צריך למחות בידו כמו דאחז"ל ביולדות דלא שייך בזה איבה דנימא להו אנן דמנטרי שבתא מחללי' עלי' שבתא אתון דלא מנטרי שבתא לא מחללי' עליכו שבתא:  </w:t>
      </w:r>
      <w:r>
        <w:rPr>
          <w:rFonts w:hint="cs"/>
          <w:color w:val="auto"/>
          <w:sz w:val="22"/>
          <w:szCs w:val="22"/>
          <w:shd w:val="clear" w:color="auto" w:fill="auto"/>
          <w:rtl/>
        </w:rPr>
        <w:t>...</w:t>
      </w:r>
    </w:p>
    <w:p w14:paraId="5FD629F1" w14:textId="11B3659C" w:rsidR="00324C99" w:rsidRPr="00A02F84" w:rsidRDefault="00324C99" w:rsidP="00EC4A3C">
      <w:pPr>
        <w:pStyle w:val="Heading1"/>
        <w:rPr>
          <w:color w:val="auto"/>
          <w:sz w:val="22"/>
          <w:szCs w:val="22"/>
          <w:shd w:val="clear" w:color="auto" w:fill="auto"/>
        </w:rPr>
      </w:pPr>
      <w:r w:rsidRPr="00CD6322">
        <w:rPr>
          <w:color w:val="auto"/>
          <w:sz w:val="22"/>
          <w:szCs w:val="22"/>
          <w:shd w:val="clear" w:color="auto" w:fill="auto"/>
          <w:rtl/>
        </w:rPr>
        <w:t xml:space="preserve">  אמנם כנ"ל דכל הדברי' לא נאמרו היכא דליכא אלא איבה בעלמא יכול להתנצל ולומר כנ"ל אבל היכא דאיכא למיחש לסכנתא שאנחנו דרים ביניהם ויוסיפו שנאה ותחרות ויאמרו כי דמו של עובד ככבים קל בעינינו ולא יקבלו תי' דמנטר' שבתא ועוד ברוב המקומות הרופאי' הם גוים ויותר בעיניהם דמן של ישראל ואולי בש"ס נמי לא אמרו אלא בימיהם שלא הי' שכיחי תערובות ישראל וגוי' וכמו שכ' תוס' חלוק זה בע"ז ט"ו ע"א ד"ה אימור וכו' לחלק בין ימיהם לימינו</w:t>
      </w:r>
      <w:r w:rsidR="00EC4A3C">
        <w:rPr>
          <w:rFonts w:hint="cs"/>
          <w:color w:val="auto"/>
          <w:sz w:val="22"/>
          <w:szCs w:val="22"/>
          <w:shd w:val="clear" w:color="auto" w:fill="auto"/>
          <w:rtl/>
        </w:rPr>
        <w:t>...</w:t>
      </w:r>
      <w:r w:rsidRPr="00CD6322">
        <w:rPr>
          <w:color w:val="auto"/>
          <w:sz w:val="22"/>
          <w:szCs w:val="22"/>
          <w:shd w:val="clear" w:color="auto" w:fill="auto"/>
          <w:rtl/>
        </w:rPr>
        <w:t xml:space="preserve"> ועיי' בט"ז שם סק"א וגדולה מזה התירו בכיבוי דליקה אפי' יוצאת מבית גוי שאין סכנה לישראל מחמת יציאת האש מ"מ אם לא יסייע לכבות יבוא לידי סכנה וע"ש בד"מ ובתה"ד בפנים אע"ג דלכאורה גם שם יכול להתנצל ולומר אתון דלא מנטרי שבתא לא מחללי שבת על הדליקה שבבתיכם מ"מ כיון דליכא אלא אי' דרבנן ולא סמכינן אפירוקא לסכנתא כי נשתנו העתים</w:t>
      </w:r>
      <w:r>
        <w:rPr>
          <w:rFonts w:hint="cs"/>
          <w:color w:val="auto"/>
          <w:sz w:val="22"/>
          <w:szCs w:val="22"/>
          <w:shd w:val="clear" w:color="auto" w:fill="auto"/>
          <w:rtl/>
        </w:rPr>
        <w:t>...</w:t>
      </w:r>
    </w:p>
    <w:p w14:paraId="0AB1D3CA" w14:textId="7C744B8D" w:rsidR="00A02F84" w:rsidRPr="00A02F84" w:rsidRDefault="00324C99" w:rsidP="006122CB">
      <w:pPr>
        <w:pStyle w:val="Heading1"/>
        <w:rPr>
          <w:rFonts w:ascii="Times New Roman" w:eastAsia="Times New Roman" w:hAnsi="Times New Roman" w:cs="Times New Roman"/>
          <w:color w:val="000000"/>
          <w:sz w:val="24"/>
          <w:szCs w:val="24"/>
          <w:shd w:val="clear" w:color="auto" w:fill="auto"/>
        </w:rPr>
      </w:pPr>
      <w:r>
        <w:rPr>
          <w:rFonts w:hint="cs"/>
          <w:rtl/>
        </w:rPr>
        <w:t>חטא בשביל שתזכה: תוס</w:t>
      </w:r>
      <w:r w:rsidR="00113D08">
        <w:rPr>
          <w:rFonts w:hint="cs"/>
          <w:rtl/>
        </w:rPr>
        <w:t>פות מס'</w:t>
      </w:r>
      <w:r>
        <w:rPr>
          <w:rFonts w:hint="cs"/>
          <w:rtl/>
        </w:rPr>
        <w:t xml:space="preserve"> שבת ד, בית יוסף אורח חיים סימן </w:t>
      </w:r>
      <w:r w:rsidR="006122CB">
        <w:rPr>
          <w:rFonts w:hint="cs"/>
          <w:rtl/>
        </w:rPr>
        <w:t>שו</w:t>
      </w:r>
      <w:r>
        <w:rPr>
          <w:rFonts w:hint="cs"/>
          <w:rtl/>
        </w:rPr>
        <w:t xml:space="preserve"> בשם הרשב"א</w:t>
      </w:r>
    </w:p>
    <w:p w14:paraId="74619F37" w14:textId="77777777" w:rsidR="00A02F84" w:rsidRDefault="00A02F84" w:rsidP="00A02F84">
      <w:pPr>
        <w:pStyle w:val="Heading1"/>
        <w:rPr>
          <w:sz w:val="29"/>
          <w:szCs w:val="29"/>
        </w:rPr>
      </w:pPr>
      <w:r w:rsidRPr="00A02F84">
        <w:rPr>
          <w:sz w:val="29"/>
          <w:szCs w:val="29"/>
          <w:rtl/>
        </w:rPr>
        <w:t>רמב"ם הלכות איסורי ביאה טו:כז</w:t>
      </w:r>
    </w:p>
    <w:p w14:paraId="76753CFE" w14:textId="76E559AE" w:rsidR="00A02F84" w:rsidRDefault="00A02F84" w:rsidP="00A02F84">
      <w:pPr>
        <w:rPr>
          <w:rtl/>
        </w:rPr>
      </w:pPr>
      <w:r w:rsidRPr="00A02F84">
        <w:rPr>
          <w:rtl/>
        </w:rPr>
        <w:t xml:space="preserve">יראה לי שכל מדינה שיש בה שפחה או עכו"ם הראויה לילד הואיל </w:t>
      </w:r>
      <w:r w:rsidRPr="00A02F84">
        <w:rPr>
          <w:rFonts w:hint="cs"/>
          <w:rtl/>
        </w:rPr>
        <w:t>והאסופי</w:t>
      </w:r>
      <w:r w:rsidR="00113D08">
        <w:rPr>
          <w:rFonts w:hint="cs"/>
          <w:rtl/>
        </w:rPr>
        <w:t xml:space="preserve"> </w:t>
      </w:r>
      <w:r w:rsidRPr="00A02F84">
        <w:rPr>
          <w:rtl/>
        </w:rPr>
        <w:t xml:space="preserve">הנמצא שם ספק עכו"ם או ספק עבד כשישא הגיורת כמו שביארנו הרי זוספק אשת איש והבא עליה פטור שאין הורגין על ספק, וכן יראה </w:t>
      </w:r>
      <w:r w:rsidRPr="00A02F84">
        <w:rPr>
          <w:rFonts w:hint="cs"/>
          <w:rtl/>
        </w:rPr>
        <w:t>לישה</w:t>
      </w:r>
      <w:r w:rsidR="00113D08">
        <w:rPr>
          <w:rFonts w:hint="cs"/>
          <w:rtl/>
        </w:rPr>
        <w:t xml:space="preserve"> </w:t>
      </w:r>
      <w:r w:rsidRPr="00A02F84">
        <w:rPr>
          <w:rtl/>
        </w:rPr>
        <w:t xml:space="preserve">שתוקי שנשא אשה שאפשר שהיא ערוה עליו והרי היא ספק אשת איש שאין קידושין תופסין בעריות. +/השגת הראב"ד/ יראה לי וכו'. כתב הראב"ד ז"ל/א"א/ מצאנו במס' סנהדרין שהולכין בדיני נפשות אחר הרוב ובמס' מכשירין ר' יהודההיא שאמר כן שאם היתה שם שפחה או עכו"ם היא חשודה להשליך עכ"ל.+ </w:t>
      </w:r>
    </w:p>
    <w:p w14:paraId="16657CD4" w14:textId="04E0DE6B" w:rsidR="00A02F84" w:rsidRDefault="00A02F84" w:rsidP="00DC277F">
      <w:pPr>
        <w:pStyle w:val="Heading1"/>
        <w:rPr>
          <w:rFonts w:ascii="Times New Roman" w:hAnsi="Times New Roman" w:cs="Times New Roman"/>
          <w:color w:val="000000"/>
          <w:sz w:val="24"/>
          <w:szCs w:val="24"/>
          <w:rtl/>
        </w:rPr>
      </w:pPr>
      <w:r>
        <w:rPr>
          <w:rtl/>
        </w:rPr>
        <w:t xml:space="preserve">צפנת פענח הלכות איסורי ביאה </w:t>
      </w:r>
      <w:r w:rsidR="00DC277F">
        <w:rPr>
          <w:rFonts w:hint="cs"/>
          <w:rtl/>
        </w:rPr>
        <w:t>שם</w:t>
      </w:r>
    </w:p>
    <w:p w14:paraId="36CFC9E5" w14:textId="57AE6ACF" w:rsidR="00A02F84" w:rsidRPr="00A02F84" w:rsidRDefault="00A02F84" w:rsidP="00A02F84">
      <w:r w:rsidRPr="00A02F84">
        <w:rPr>
          <w:rtl/>
        </w:rPr>
        <w:t>והנה ה"נ אף דאנן אמרינן דהולכין בתר רוב והוה ישראל ס"ל לרבינו דזה רק לענין היתר אבל לומר דאשתו יהא א"א גמורה א"א כאן לומר זה דהרי אם נתברר שהיה עבד או נכרי ודאי אינה א"א ועל זה בשעה שנולד הספק לא היו דנין עליה לענין א"א ולכך לא מקריא הוחזקה א"א</w:t>
      </w:r>
      <w:r w:rsidR="00113D08">
        <w:rPr>
          <w:rStyle w:val="FootnoteReference"/>
          <w:rtl/>
        </w:rPr>
        <w:footnoteReference w:id="2"/>
      </w:r>
    </w:p>
    <w:p w14:paraId="351FC14D" w14:textId="5DD4412E" w:rsidR="00324C99" w:rsidRDefault="001A5E16" w:rsidP="00324C99">
      <w:pPr>
        <w:pStyle w:val="Heading1"/>
      </w:pPr>
      <w:r>
        <w:rPr>
          <w:rtl/>
        </w:rPr>
        <w:t>השגות הרמב"ן לספר המצוות לרמב"ם שכחת העשין</w:t>
      </w:r>
      <w:r w:rsidR="00F46EE2">
        <w:rPr>
          <w:rStyle w:val="FootnoteReference"/>
          <w:rtl/>
        </w:rPr>
        <w:footnoteReference w:id="3"/>
      </w:r>
    </w:p>
    <w:p w14:paraId="3522FC1A" w14:textId="78B78BA8" w:rsidR="001A5E16" w:rsidRDefault="001A5E16" w:rsidP="00430605">
      <w:pPr>
        <w:spacing w:after="0"/>
        <w:rPr>
          <w:rtl/>
        </w:rPr>
      </w:pPr>
      <w:r w:rsidRPr="001A5E16">
        <w:rPr>
          <w:rtl/>
        </w:rPr>
        <w:t>מצוה יו שנצטוינו להחיות גר תושב להציל לו מרעתו שאם היה טובע בנהר או נפל עליו הגל שבכל כחנו נטרח בהצלתו ואם היה חולה נתעסק ברפואתו וכל שכן מאחינו ישראל או גר צדק שאנו מחוייבים לו בכל אלה והוא בהם פקוח נפש שדוחה שבת והוא אמרו ית' (פ' בהר) וכי ימוך אחיך ומטה ידו עמך והחזקת בו גר ותושב וחי עמך. ומאמרם בתלמוד (פסחי' כא ב, ע"ז כ א, חולין קיד ב) גר אתה מצווה עליו להחיותו גוי אין אתה מצווה עליו להחיותו. והמצוה הזו מנאה בעל ההלכות (אות מט) החיאת האח. והרב כלל אותה עם הצדקה במצות קצ"ה מפסוק פתוח תפתח את ידך (פ' ראה טו). והם שתים מצות באמת:</w:t>
      </w:r>
    </w:p>
    <w:p w14:paraId="390B0434" w14:textId="31800209" w:rsidR="006806AD" w:rsidRDefault="00430605" w:rsidP="00430605">
      <w:pPr>
        <w:pStyle w:val="Heading3"/>
        <w:spacing w:before="0" w:line="360" w:lineRule="auto"/>
        <w:rPr>
          <w:rtl/>
        </w:rPr>
      </w:pPr>
      <w:r>
        <w:rPr>
          <w:rFonts w:hint="cs"/>
          <w:rtl/>
        </w:rPr>
        <w:t>(</w:t>
      </w:r>
      <w:r w:rsidR="006806AD">
        <w:rPr>
          <w:rFonts w:hint="cs"/>
          <w:rtl/>
        </w:rPr>
        <w:t>כל דתקון רבנן כעין דאורייתא תקון - בעקבי הצאן עמ' סח</w:t>
      </w:r>
      <w:r>
        <w:rPr>
          <w:rFonts w:hint="cs"/>
          <w:rtl/>
        </w:rPr>
        <w:t>)</w:t>
      </w:r>
    </w:p>
    <w:p w14:paraId="1E476C82" w14:textId="11BD4230" w:rsidR="002807E6" w:rsidRDefault="006806AD" w:rsidP="00063F22">
      <w:pPr>
        <w:pStyle w:val="Heading1"/>
        <w:rPr>
          <w:rtl/>
        </w:rPr>
      </w:pPr>
      <w:r>
        <w:rPr>
          <w:rFonts w:hint="cs"/>
          <w:rtl/>
        </w:rPr>
        <w:t xml:space="preserve">והצילו העדה </w:t>
      </w:r>
      <w:r>
        <w:rPr>
          <w:rtl/>
        </w:rPr>
        <w:t>–</w:t>
      </w:r>
      <w:r>
        <w:rPr>
          <w:rFonts w:hint="cs"/>
          <w:rtl/>
        </w:rPr>
        <w:t xml:space="preserve"> ארץ הצבי עמ' רמג</w:t>
      </w:r>
    </w:p>
    <w:p w14:paraId="37728A22" w14:textId="756C3CE7" w:rsidR="00063F22" w:rsidRPr="00A74586" w:rsidRDefault="00063F22" w:rsidP="0049397B">
      <w:pPr>
        <w:pStyle w:val="Heading1"/>
        <w:rPr>
          <w:rFonts w:ascii="Times New Roman" w:hAnsi="Times New Roman" w:cs="Times New Roman"/>
          <w:color w:val="000000"/>
          <w:sz w:val="24"/>
          <w:szCs w:val="24"/>
          <w:shd w:val="clear" w:color="auto" w:fill="auto"/>
        </w:rPr>
      </w:pPr>
      <w:r w:rsidRPr="00A74586">
        <w:rPr>
          <w:rtl/>
        </w:rPr>
        <w:t>רמב"ם הלכות רוצח ושמירת הנפש פרק ד</w:t>
      </w:r>
    </w:p>
    <w:p w14:paraId="402A0355" w14:textId="4873D1AD" w:rsidR="00063F22" w:rsidRDefault="00063F22" w:rsidP="00063F22">
      <w:pPr>
        <w:rPr>
          <w:rtl/>
        </w:rPr>
      </w:pPr>
      <w:r w:rsidRPr="00A74586">
        <w:rPr>
          <w:color w:val="000080"/>
          <w:sz w:val="29"/>
          <w:szCs w:val="29"/>
          <w:shd w:val="clear" w:color="auto" w:fill="FFFFFF"/>
          <w:rtl/>
        </w:rPr>
        <w:lastRenderedPageBreak/>
        <w:t xml:space="preserve"> </w:t>
      </w:r>
      <w:r w:rsidRPr="00A74586">
        <w:rPr>
          <w:rtl/>
        </w:rPr>
        <w:t xml:space="preserve">המתכוין להרוג את זה והרג את זה פטור ממיתת בית דין ומן התשלומין </w:t>
      </w:r>
      <w:r w:rsidRPr="00A74586">
        <w:rPr>
          <w:rFonts w:hint="cs"/>
          <w:rtl/>
        </w:rPr>
        <w:t>ומן</w:t>
      </w:r>
      <w:r w:rsidR="00DB3909">
        <w:rPr>
          <w:rFonts w:hint="cs"/>
          <w:rtl/>
        </w:rPr>
        <w:t xml:space="preserve"> </w:t>
      </w:r>
      <w:r w:rsidRPr="00A74586">
        <w:rPr>
          <w:rtl/>
        </w:rPr>
        <w:t>הגלות, לפי שאין ערי מקלט קולטות אותו כמו שיתבאר, לפיכך הזורק אבן</w:t>
      </w:r>
      <w:r w:rsidR="00DB3909">
        <w:rPr>
          <w:rFonts w:hint="cs"/>
          <w:rtl/>
        </w:rPr>
        <w:t xml:space="preserve"> </w:t>
      </w:r>
      <w:r w:rsidRPr="00A74586">
        <w:rPr>
          <w:rtl/>
        </w:rPr>
        <w:t>לתוך עדה מישראל והרג אחד מהן פטור ממיתת בית דין. +/השגת הראב"ד/המתכוון להרוג את זה והרג את זה פטור ממיתת ב"ד. א"א כר"ש הוא זה ואין הלכה</w:t>
      </w:r>
      <w:r w:rsidR="00DB3909">
        <w:rPr>
          <w:rFonts w:hint="cs"/>
          <w:rtl/>
        </w:rPr>
        <w:t xml:space="preserve"> </w:t>
      </w:r>
      <w:r w:rsidRPr="00A74586">
        <w:rPr>
          <w:rtl/>
        </w:rPr>
        <w:t>כרבי שמעון.+</w:t>
      </w:r>
    </w:p>
    <w:p w14:paraId="7C8EF9BD" w14:textId="77777777" w:rsidR="00063F22" w:rsidRPr="00A74586" w:rsidRDefault="00063F22" w:rsidP="00063F22">
      <w:pPr>
        <w:pStyle w:val="Heading1"/>
      </w:pPr>
      <w:r w:rsidRPr="00A74586">
        <w:rPr>
          <w:rtl/>
        </w:rPr>
        <w:t>חידושי הר"ן מסכת סנהדרין דף עט</w:t>
      </w:r>
      <w:r>
        <w:rPr>
          <w:rFonts w:hint="cs"/>
          <w:rtl/>
        </w:rPr>
        <w:t>.</w:t>
      </w:r>
      <w:bookmarkStart w:id="0" w:name="_GoBack"/>
      <w:bookmarkEnd w:id="0"/>
    </w:p>
    <w:p w14:paraId="617282F2" w14:textId="4C22752A" w:rsidR="00063F22" w:rsidRDefault="00063F22" w:rsidP="006122CB">
      <w:pPr>
        <w:rPr>
          <w:rtl/>
        </w:rPr>
      </w:pPr>
      <w:r w:rsidRPr="00A74586">
        <w:rPr>
          <w:rtl/>
        </w:rPr>
        <w:t>ואיכא למידק לר' שמעון דמוקי לי' האי קרא עד שיתכווין לו דנתכוון להרוג את זה והרג את זה פטור ואפילו אמר לחד מינייהו עד שיאמר לפלוני אני מתכוון א"כ מנא האי דינא דכל קבוע כמחצה על מחצ' דמי. ואיכא למימר דר' שמעון לית לי' מדאורייתא דינא דקבוע אלא מדרבנן דהתם בכתובות שיילינן מדאורייתא מנלן לא משכחת ליה אלא מוארב לו וקם עליו אליבא דרבנן ואלו ה"ל לר' שמעון קרא אחרינא הוה מייתי ליה תלמודא: ולענין פסק הלכה קי"ל כרבנן דנתכון להרוג את זה והרג את זה חייב כל היכא דאיכא התראה דיחיד ורבים הלכה כרבים דפליגי עליה דר' שמעון. ועוד דבעלמא אית לן דקבוע מדאורייתא ולר' שמעון לא משכחת לה קבוע מדאורייתא וכדכתיבנא. והתמה מהרמב"ם ז"ל שפסק דנתכון להרוג את זה והרג את זה פטור כר' שמעון ולא מחוור. וכבר השיג עליו הראב"ד ז"ל בפ"ד מה' רוצח:</w:t>
      </w:r>
    </w:p>
    <w:p w14:paraId="2AD03CE7" w14:textId="7521FFA3" w:rsidR="00063F22" w:rsidRPr="00063F22" w:rsidRDefault="00113D08" w:rsidP="00CA265A">
      <w:pPr>
        <w:pStyle w:val="Heading1"/>
      </w:pPr>
      <w:r>
        <w:rPr>
          <w:rFonts w:hint="cs"/>
          <w:rtl/>
        </w:rPr>
        <w:t xml:space="preserve">בין דם לדם... - </w:t>
      </w:r>
      <w:r w:rsidR="00CA265A">
        <w:rPr>
          <w:rFonts w:hint="cs"/>
          <w:rtl/>
        </w:rPr>
        <w:t>ארץ הצבי עמ' ח</w:t>
      </w:r>
    </w:p>
    <w:sectPr w:rsidR="00063F22" w:rsidRPr="00063F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F04B2" w14:textId="77777777" w:rsidR="002807E6" w:rsidRDefault="002807E6" w:rsidP="00AE281B">
      <w:r>
        <w:separator/>
      </w:r>
    </w:p>
  </w:endnote>
  <w:endnote w:type="continuationSeparator" w:id="0">
    <w:p w14:paraId="43CF4229" w14:textId="77777777" w:rsidR="002807E6" w:rsidRDefault="002807E6"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DCB6" w14:textId="77777777" w:rsidR="002807E6" w:rsidRDefault="002807E6">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4D694" w14:textId="77777777" w:rsidR="002807E6" w:rsidRDefault="002807E6" w:rsidP="00AE281B">
      <w:r>
        <w:separator/>
      </w:r>
    </w:p>
  </w:footnote>
  <w:footnote w:type="continuationSeparator" w:id="0">
    <w:p w14:paraId="26B979C0" w14:textId="77777777" w:rsidR="002807E6" w:rsidRDefault="002807E6" w:rsidP="00AE281B">
      <w:r>
        <w:continuationSeparator/>
      </w:r>
    </w:p>
  </w:footnote>
  <w:footnote w:id="1">
    <w:p w14:paraId="04D3B724" w14:textId="6465DC43" w:rsidR="00063F22" w:rsidRDefault="00063F22" w:rsidP="00F46EE2">
      <w:pPr>
        <w:spacing w:after="0" w:line="240" w:lineRule="auto"/>
      </w:pPr>
      <w:r w:rsidRPr="00F46EE2">
        <w:rPr>
          <w:rStyle w:val="FootnoteReference"/>
          <w:sz w:val="18"/>
          <w:szCs w:val="18"/>
        </w:rPr>
        <w:footnoteRef/>
      </w:r>
      <w:r w:rsidRPr="00F46EE2">
        <w:rPr>
          <w:sz w:val="18"/>
          <w:szCs w:val="18"/>
          <w:rtl/>
        </w:rPr>
        <w:t xml:space="preserve"> </w:t>
      </w:r>
      <w:r w:rsidRPr="00F46EE2">
        <w:rPr>
          <w:rFonts w:hint="cs"/>
          <w:sz w:val="18"/>
          <w:szCs w:val="18"/>
          <w:rtl/>
        </w:rPr>
        <w:t xml:space="preserve">סעודת גמר הזמן - עניני כשרות - </w:t>
      </w:r>
      <w:r w:rsidRPr="00F46EE2">
        <w:rPr>
          <w:sz w:val="18"/>
          <w:szCs w:val="18"/>
          <w:rtl/>
        </w:rPr>
        <w:t>אין מבטלין איסור לכתחילה - שו</w:t>
      </w:r>
      <w:r w:rsidRPr="00F46EE2">
        <w:rPr>
          <w:sz w:val="18"/>
          <w:szCs w:val="18"/>
        </w:rPr>
        <w:t>"</w:t>
      </w:r>
      <w:r w:rsidRPr="00F46EE2">
        <w:rPr>
          <w:sz w:val="18"/>
          <w:szCs w:val="18"/>
          <w:rtl/>
        </w:rPr>
        <w:t>ת אגרות משה יורה דעה חלק א סימן סב</w:t>
      </w:r>
      <w:r w:rsidRPr="00F46EE2">
        <w:rPr>
          <w:rFonts w:hint="cs"/>
          <w:sz w:val="18"/>
          <w:szCs w:val="18"/>
          <w:rtl/>
        </w:rPr>
        <w:t xml:space="preserve"> </w:t>
      </w:r>
    </w:p>
  </w:footnote>
  <w:footnote w:id="2">
    <w:p w14:paraId="5944781D" w14:textId="78862E41" w:rsidR="00113D08" w:rsidRDefault="00113D08">
      <w:pPr>
        <w:pStyle w:val="FootnoteText"/>
        <w:rPr>
          <w:rFonts w:hint="cs"/>
        </w:rPr>
      </w:pPr>
      <w:r>
        <w:rPr>
          <w:rStyle w:val="FootnoteReference"/>
        </w:rPr>
        <w:footnoteRef/>
      </w:r>
      <w:r>
        <w:rPr>
          <w:rtl/>
        </w:rPr>
        <w:t xml:space="preserve"> </w:t>
      </w:r>
      <w:r w:rsidRPr="00113D08">
        <w:rPr>
          <w:rFonts w:hint="cs"/>
          <w:sz w:val="18"/>
          <w:szCs w:val="18"/>
          <w:rtl/>
        </w:rPr>
        <w:t>עי' בהפלאה בסוגיין</w:t>
      </w:r>
    </w:p>
  </w:footnote>
  <w:footnote w:id="3">
    <w:p w14:paraId="32D57840" w14:textId="09A9B8A9" w:rsidR="00F46EE2" w:rsidRPr="00F46EE2" w:rsidRDefault="00F46EE2" w:rsidP="00F46EE2">
      <w:pPr>
        <w:pStyle w:val="FootnoteText"/>
        <w:rPr>
          <w:sz w:val="18"/>
          <w:szCs w:val="18"/>
        </w:rPr>
      </w:pPr>
      <w:r w:rsidRPr="00F46EE2">
        <w:rPr>
          <w:rStyle w:val="FootnoteReference"/>
          <w:sz w:val="18"/>
          <w:szCs w:val="18"/>
        </w:rPr>
        <w:footnoteRef/>
      </w:r>
      <w:r w:rsidRPr="00F46EE2">
        <w:rPr>
          <w:sz w:val="18"/>
          <w:szCs w:val="18"/>
          <w:rtl/>
        </w:rPr>
        <w:t xml:space="preserve"> </w:t>
      </w:r>
      <w:r w:rsidRPr="00F46EE2">
        <w:rPr>
          <w:rFonts w:hint="cs"/>
          <w:sz w:val="18"/>
          <w:szCs w:val="18"/>
          <w:rtl/>
        </w:rPr>
        <w:t xml:space="preserve">בחידושי הרמב"ן כתובות טו: איתא בזה"ל: </w:t>
      </w:r>
      <w:r w:rsidRPr="00F46EE2">
        <w:rPr>
          <w:sz w:val="18"/>
          <w:szCs w:val="18"/>
          <w:rtl/>
        </w:rPr>
        <w:t>ויש לי לפרש דלהחיותו לאו בפקוח נפש הוא אלא לפרנסו כאחד מעניי ישראל ומש"ה אמר רב לא שנו רוב ישראל ישראל אלא להחיותו ולא איירי איהו בפקוח נפש כלל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1B33" w14:textId="77777777" w:rsidR="002807E6" w:rsidRDefault="002807E6" w:rsidP="00324C99">
    <w:pPr>
      <w:pStyle w:val="Header"/>
      <w:bidi w:val="0"/>
    </w:pPr>
    <w:r>
      <w:rPr>
        <w:rFonts w:hint="cs"/>
        <w:rtl/>
      </w:rPr>
      <w:t xml:space="preserve"> מס' כתובות</w:t>
    </w:r>
    <w:r w:rsidR="00324C99">
      <w:rPr>
        <w:rFonts w:hint="cs"/>
        <w:rtl/>
      </w:rPr>
      <w:t xml:space="preserve"> טו:</w:t>
    </w:r>
    <w:r>
      <w:rPr>
        <w:rtl/>
      </w:rPr>
      <w:tab/>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113D08">
      <w:rPr>
        <w:noProof/>
        <w:rtl/>
      </w:rPr>
      <w:t>‏ט"ז אייר תשע"ה</w:t>
    </w:r>
    <w:r>
      <w:rPr>
        <w:rtl/>
      </w:rPr>
      <w:fldChar w:fldCharType="end"/>
    </w:r>
    <w:r>
      <w:rPr>
        <w:rFonts w:hint="cs"/>
        <w:rtl/>
      </w:rPr>
      <w:t xml:space="preserve">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37DF8"/>
    <w:multiLevelType w:val="multilevel"/>
    <w:tmpl w:val="DCE2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E6"/>
    <w:rsid w:val="000005CB"/>
    <w:rsid w:val="00063F22"/>
    <w:rsid w:val="00113D08"/>
    <w:rsid w:val="00125C0B"/>
    <w:rsid w:val="001A5E16"/>
    <w:rsid w:val="002807E6"/>
    <w:rsid w:val="002B5A91"/>
    <w:rsid w:val="00324C99"/>
    <w:rsid w:val="00430605"/>
    <w:rsid w:val="0049397B"/>
    <w:rsid w:val="00527574"/>
    <w:rsid w:val="006122CB"/>
    <w:rsid w:val="006806AD"/>
    <w:rsid w:val="007A4624"/>
    <w:rsid w:val="008F2FC0"/>
    <w:rsid w:val="00956A5D"/>
    <w:rsid w:val="00995396"/>
    <w:rsid w:val="009E247D"/>
    <w:rsid w:val="00A02F84"/>
    <w:rsid w:val="00AE281B"/>
    <w:rsid w:val="00AF6D7E"/>
    <w:rsid w:val="00B97B87"/>
    <w:rsid w:val="00BC2476"/>
    <w:rsid w:val="00C227FC"/>
    <w:rsid w:val="00C402D8"/>
    <w:rsid w:val="00CA265A"/>
    <w:rsid w:val="00D40A69"/>
    <w:rsid w:val="00DB3909"/>
    <w:rsid w:val="00DC277F"/>
    <w:rsid w:val="00EC4A3C"/>
    <w:rsid w:val="00EC7C87"/>
    <w:rsid w:val="00F46EE2"/>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235F"/>
  <w15:chartTrackingRefBased/>
  <w15:docId w15:val="{733736F9-9F36-48FB-B37E-1465A4CD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paragraph" w:styleId="Heading3">
    <w:name w:val="heading 3"/>
    <w:basedOn w:val="Normal"/>
    <w:next w:val="Normal"/>
    <w:link w:val="Heading3Char"/>
    <w:uiPriority w:val="9"/>
    <w:unhideWhenUsed/>
    <w:qFormat/>
    <w:rsid w:val="004306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paragraph" w:styleId="FootnoteText">
    <w:name w:val="footnote text"/>
    <w:basedOn w:val="Normal"/>
    <w:link w:val="FootnoteTextChar"/>
    <w:uiPriority w:val="99"/>
    <w:semiHidden/>
    <w:unhideWhenUsed/>
    <w:rsid w:val="00063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22"/>
    <w:rPr>
      <w:rFonts w:ascii="Narkisim" w:hAnsi="Narkisim" w:cs="Narkisim"/>
      <w:sz w:val="20"/>
      <w:szCs w:val="20"/>
    </w:rPr>
  </w:style>
  <w:style w:type="character" w:styleId="FootnoteReference">
    <w:name w:val="footnote reference"/>
    <w:basedOn w:val="DefaultParagraphFont"/>
    <w:uiPriority w:val="99"/>
    <w:semiHidden/>
    <w:unhideWhenUsed/>
    <w:rsid w:val="00063F22"/>
    <w:rPr>
      <w:vertAlign w:val="superscript"/>
    </w:rPr>
  </w:style>
  <w:style w:type="character" w:customStyle="1" w:styleId="Heading3Char">
    <w:name w:val="Heading 3 Char"/>
    <w:basedOn w:val="DefaultParagraphFont"/>
    <w:link w:val="Heading3"/>
    <w:uiPriority w:val="9"/>
    <w:rsid w:val="004306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207110560">
      <w:bodyDiv w:val="1"/>
      <w:marLeft w:val="0"/>
      <w:marRight w:val="0"/>
      <w:marTop w:val="0"/>
      <w:marBottom w:val="0"/>
      <w:divBdr>
        <w:top w:val="none" w:sz="0" w:space="0" w:color="auto"/>
        <w:left w:val="none" w:sz="0" w:space="0" w:color="auto"/>
        <w:bottom w:val="none" w:sz="0" w:space="0" w:color="auto"/>
        <w:right w:val="none" w:sz="0" w:space="0" w:color="auto"/>
      </w:divBdr>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59E9AB3-820F-4E40-99EF-F2E4862B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שיעור</Template>
  <TotalTime>143</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15</cp:revision>
  <dcterms:created xsi:type="dcterms:W3CDTF">2015-05-05T16:34:00Z</dcterms:created>
  <dcterms:modified xsi:type="dcterms:W3CDTF">2015-05-06T03:36:00Z</dcterms:modified>
</cp:coreProperties>
</file>