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66FB" w14:textId="77777777" w:rsidR="00EC7C87" w:rsidRDefault="00EC7C87" w:rsidP="00A74586">
      <w:pPr>
        <w:pStyle w:val="Title"/>
        <w:rPr>
          <w:rtl/>
        </w:rPr>
      </w:pPr>
      <w:r w:rsidRPr="00AE281B">
        <w:rPr>
          <w:rFonts w:hint="cs"/>
          <w:rtl/>
        </w:rPr>
        <w:t>שיעור צ"</w:t>
      </w:r>
      <w:r w:rsidR="00A74586">
        <w:rPr>
          <w:rFonts w:hint="cs"/>
          <w:rtl/>
        </w:rPr>
        <w:t>ד</w:t>
      </w:r>
      <w:r w:rsidRPr="00AE281B">
        <w:rPr>
          <w:rFonts w:hint="cs"/>
          <w:rtl/>
        </w:rPr>
        <w:t xml:space="preserve"> – </w:t>
      </w:r>
      <w:r w:rsidR="00A74586">
        <w:rPr>
          <w:rFonts w:hint="cs"/>
          <w:rtl/>
        </w:rPr>
        <w:t>תרי רובי</w:t>
      </w:r>
    </w:p>
    <w:p w14:paraId="2A246F25" w14:textId="7286573B" w:rsidR="00A74586" w:rsidRPr="00A74586" w:rsidRDefault="00A74586" w:rsidP="000D33A5">
      <w:pPr>
        <w:pStyle w:val="Heading1"/>
      </w:pPr>
      <w:r w:rsidRPr="00A74586">
        <w:rPr>
          <w:rtl/>
        </w:rPr>
        <w:t>חידושי הר"ן מסכת סנהדרין דף עט</w:t>
      </w:r>
      <w:r w:rsidR="000D33A5">
        <w:rPr>
          <w:rFonts w:hint="cs"/>
          <w:rtl/>
        </w:rPr>
        <w:t>.</w:t>
      </w:r>
    </w:p>
    <w:p w14:paraId="52C8AE9D" w14:textId="77777777" w:rsidR="00A74586" w:rsidRPr="00A74586" w:rsidRDefault="00A74586" w:rsidP="00A74586">
      <w:pPr>
        <w:rPr>
          <w:rFonts w:hint="cs"/>
          <w:rtl/>
        </w:rPr>
      </w:pPr>
      <w:r w:rsidRPr="00A74586">
        <w:rPr>
          <w:rtl/>
        </w:rPr>
        <w:t>ואיכא למידק לר' שמעון דמוקי לי' האי קרא עד שיתכווין לו דנתכוון להרוג את זה והרג את זה פטור ואפילו אמר לחד מינייהו עד שיאמר לפלוני אני מתכוון א"כ מנ</w:t>
      </w:r>
      <w:bookmarkStart w:id="0" w:name="_GoBack"/>
      <w:bookmarkEnd w:id="0"/>
      <w:r w:rsidRPr="00A74586">
        <w:rPr>
          <w:rtl/>
        </w:rPr>
        <w:t>א האי דינא דכל קבוע כמחצה על מחצ' דמי. ואיכא למימר דר' שמעון לית לי' מדאורייתא דינא דקבוע אלא מדרבנן דהתם בכתובות שיילינן מדאורייתא מנלן לא משכחת ליה אלא מוארב לו וקם עליו אליבא דרבנן ואלו ה"ל לר' שמעון קרא אחרינא הוה מייתי ליה תלמודא: ולענין פסק הלכה קי"ל כרבנן דנתכון להרוג את זה והרג את זה חייב כל היכא דאיכא התראה דיחיד ורבים הלכה כרבים דפליגי עליה דר' שמעון. ועוד דבעלמא אית לן דקבוע מדאורייתא ולר' שמעון לא משכחת לה קבוע מדאורייתא וכדכתיבנא. והתמה מהרמב"ם ז"ל שפסק דנתכון להרוג את זה והרג את זה פטור כר' שמעון ולא מחוור. וכבר השיג עליו הראב"ד ז"ל בפ"ד מה' רוצח:</w:t>
      </w:r>
    </w:p>
    <w:p w14:paraId="77DFA482" w14:textId="77777777" w:rsidR="00A74586" w:rsidRPr="00A74586" w:rsidRDefault="00A74586" w:rsidP="00A74586">
      <w:pPr>
        <w:pStyle w:val="Heading1"/>
        <w:rPr>
          <w:rFonts w:ascii="Times New Roman" w:hAnsi="Times New Roman" w:cs="Times New Roman"/>
          <w:color w:val="000000"/>
          <w:sz w:val="24"/>
          <w:szCs w:val="24"/>
          <w:shd w:val="clear" w:color="auto" w:fill="auto"/>
        </w:rPr>
      </w:pPr>
      <w:r w:rsidRPr="00A74586">
        <w:rPr>
          <w:rtl/>
        </w:rPr>
        <w:t>רמב"ם הלכות רוצח ושמירת הנפש פרק ד:</w:t>
      </w:r>
    </w:p>
    <w:p w14:paraId="59B70982" w14:textId="77777777" w:rsidR="00A74586" w:rsidRPr="00A74586" w:rsidRDefault="00A74586" w:rsidP="00A74586">
      <w:pPr>
        <w:rPr>
          <w:rFonts w:ascii="Times New Roman" w:hAnsi="Times New Roman" w:cs="Times New Roman" w:hint="cs"/>
          <w:color w:val="000000"/>
          <w:rtl/>
        </w:rPr>
      </w:pPr>
      <w:r w:rsidRPr="00A74586">
        <w:rPr>
          <w:color w:val="000080"/>
          <w:sz w:val="29"/>
          <w:szCs w:val="29"/>
          <w:shd w:val="clear" w:color="auto" w:fill="FFFFFF"/>
          <w:rtl/>
        </w:rPr>
        <w:t xml:space="preserve"> </w:t>
      </w:r>
      <w:r w:rsidRPr="00A74586">
        <w:rPr>
          <w:rtl/>
        </w:rPr>
        <w:t>המתכוין להרוג את זה והרג את זה פטור ממיתת בית דין ומן התשלומין ומןהגלות, לפי שאין ערי מקלט קולטות אותו כמו שיתבאר, לפיכך הזורק אבןלתוך עדה מישראל והרג אחד מהן פטור ממיתת בית דין. +/השגת הראב"ד/המתכוון להרוג את זה והרג את זה פטור ממיתת ב"ד. א"א כר"ש הוא זה ואין הלכהכרבי שמעון.+</w:t>
      </w:r>
    </w:p>
    <w:p w14:paraId="5DF4AAD9" w14:textId="77777777" w:rsidR="00A74586" w:rsidRPr="00A74586" w:rsidRDefault="00A74586" w:rsidP="00A74586">
      <w:pPr>
        <w:pStyle w:val="Heading1"/>
      </w:pPr>
      <w:r>
        <w:rPr>
          <w:rFonts w:hint="cs"/>
          <w:rtl/>
        </w:rPr>
        <w:t>תוספות מס' נזיר דף יב. ד"ה אסור</w:t>
      </w:r>
    </w:p>
    <w:p w14:paraId="0E4B32E2" w14:textId="77777777" w:rsidR="00A74586" w:rsidRDefault="00A74586" w:rsidP="00A74586">
      <w:pPr>
        <w:rPr>
          <w:rtl/>
        </w:rPr>
      </w:pPr>
      <w:r w:rsidRPr="00A74586">
        <w:rPr>
          <w:rFonts w:hint="cs"/>
          <w:rtl/>
        </w:rPr>
        <w:t>לא אמרינן קבוע כמחצה דמי אלא כשהאיסור ניכר לעצמו וההיתר ניכר לעצמו אבל כשאין האיסור ניכר לעצמו</w:t>
      </w:r>
      <w:r w:rsidRPr="00A74586">
        <w:rPr>
          <w:rFonts w:cs="Times New Roman" w:hint="cs"/>
          <w:rtl/>
          <w:lang w:bidi="ar-SA"/>
        </w:rPr>
        <w:t xml:space="preserve"> </w:t>
      </w:r>
      <w:r w:rsidRPr="00A74586">
        <w:rPr>
          <w:rFonts w:hint="cs"/>
          <w:rtl/>
        </w:rPr>
        <w:t>לא אמרינן קבוע.</w:t>
      </w:r>
    </w:p>
    <w:p w14:paraId="75EBB8BA" w14:textId="77777777" w:rsidR="00A74586" w:rsidRDefault="00A74586" w:rsidP="00A74586">
      <w:pPr>
        <w:pStyle w:val="Heading1"/>
        <w:rPr>
          <w:rtl/>
        </w:rPr>
      </w:pPr>
      <w:r>
        <w:rPr>
          <w:rFonts w:hint="cs"/>
          <w:rtl/>
        </w:rPr>
        <w:t>תלמוד בבלי מס' זבחים דף צג.</w:t>
      </w:r>
    </w:p>
    <w:p w14:paraId="6F1AB359" w14:textId="77777777" w:rsidR="00A74586" w:rsidRPr="00A74586" w:rsidRDefault="00A74586" w:rsidP="00A74586">
      <w:pPr>
        <w:pStyle w:val="Heading1"/>
        <w:rPr>
          <w:lang w:bidi="ar-SA"/>
        </w:rPr>
      </w:pPr>
      <w:r w:rsidRPr="00A74586">
        <w:rPr>
          <w:rtl/>
        </w:rPr>
        <w:t>פתחי תשובה אבן העזר סימן יז ס</w:t>
      </w:r>
      <w:r w:rsidRPr="00A74586">
        <w:rPr>
          <w:rFonts w:cs="Times New Roman"/>
          <w:rtl/>
          <w:lang w:bidi="ar-SA"/>
        </w:rPr>
        <w:t>"</w:t>
      </w:r>
      <w:r w:rsidRPr="00A74586">
        <w:rPr>
          <w:rtl/>
        </w:rPr>
        <w:t>ק קלג</w:t>
      </w:r>
    </w:p>
    <w:p w14:paraId="6E5F603B" w14:textId="77777777" w:rsidR="00A74586" w:rsidRDefault="00A74586" w:rsidP="00A74586">
      <w:pPr>
        <w:rPr>
          <w:rtl/>
        </w:rPr>
      </w:pPr>
      <w:r w:rsidRPr="00A74586">
        <w:rPr>
          <w:b/>
          <w:bCs/>
          <w:rtl/>
        </w:rPr>
        <w:t>ועיין בת' קהלת יעקב מהגאון מקארלין סי' ט'</w:t>
      </w:r>
      <w:r w:rsidRPr="00A74586">
        <w:t xml:space="preserve">… </w:t>
      </w:r>
      <w:r w:rsidRPr="00A74586">
        <w:rPr>
          <w:rtl/>
        </w:rPr>
        <w:t>זכורני כי בימי חרפי עת היותי בית כבוד מו"ר הגאון מהר"ח ז"ל מוולאזין נשאלה שאלה כעין זו באחד שנפל מהגשר שהיה גבוה הרבה מהקרח ונפל מהגשר על הקרח ומהקרח לתוך המים ונאבד ולא נמצא וצידד להתיר מטעם תרי רובא היינו דנפילה גבוה ב' קומות רובן למיתה מהך דבית הסקילה כו'ומדין טריפות הנפולה שהוא הלל"מ ובהדי ריעותא דמים שאל"ס והאריך בזהבתשובה וכדומה שהותרה האשה אז בהסכמת כל חכמי ווילנא וידעתי כיימצא בזה צדדים להחמיר מאיזה תשובת האחרונים אך אין לחוש כ"כ במים שאל"ס דרבנן ויש לסמוך על המקילין במקום עיגון</w:t>
      </w:r>
      <w:r w:rsidRPr="00A74586">
        <w:rPr>
          <w:rFonts w:ascii="Arial" w:hAnsi="Arial" w:cs="Arial"/>
          <w:color w:val="000000"/>
        </w:rPr>
        <w:t xml:space="preserve"> </w:t>
      </w:r>
      <w:r w:rsidRPr="00A74586">
        <w:rPr>
          <w:rtl/>
        </w:rPr>
        <w:t>עכ"ל</w:t>
      </w:r>
      <w:r w:rsidRPr="00A74586">
        <w:rPr>
          <w:b/>
          <w:bCs/>
        </w:rPr>
        <w:t xml:space="preserve"> </w:t>
      </w:r>
      <w:r w:rsidRPr="00A74586">
        <w:rPr>
          <w:b/>
          <w:bCs/>
          <w:rtl/>
        </w:rPr>
        <w:t xml:space="preserve">וקצת חידוש בעיני </w:t>
      </w:r>
      <w:r w:rsidRPr="00A74586">
        <w:rPr>
          <w:rtl/>
        </w:rPr>
        <w:t>שלא הזכיר דברי התוס' ביבמות קכ"א ע"א בד"ה ולא היא דמבואר שםדאפילו בתרי רובא לא תנשא לכתחילה ע"ש מיהו אפשר לחלק וצ"ע</w:t>
      </w:r>
      <w:r>
        <w:rPr>
          <w:rStyle w:val="FootnoteReference"/>
          <w:rtl/>
        </w:rPr>
        <w:footnoteReference w:id="1"/>
      </w:r>
    </w:p>
    <w:p w14:paraId="5BFB9DDC" w14:textId="77777777" w:rsidR="00A74586" w:rsidRPr="00A74586" w:rsidRDefault="00A74586" w:rsidP="00A74586">
      <w:pPr>
        <w:pStyle w:val="Heading1"/>
      </w:pPr>
      <w:r w:rsidRPr="00A74586">
        <w:rPr>
          <w:rFonts w:hint="cs"/>
          <w:rtl/>
        </w:rPr>
        <w:t>שו"ת יביע אומר חלק ו - אבן העזר סימן ד</w:t>
      </w:r>
    </w:p>
    <w:p w14:paraId="5EE3E673" w14:textId="77777777" w:rsidR="00A74586" w:rsidRPr="00A74586" w:rsidRDefault="00A74586" w:rsidP="00A74586">
      <w:pPr>
        <w:pStyle w:val="Heading1"/>
      </w:pPr>
      <w:r w:rsidRPr="00A74586">
        <w:rPr>
          <w:rFonts w:hint="cs"/>
          <w:rtl/>
        </w:rPr>
        <w:t>שו"ת יביע אומר חלק ז - אבן העזר סימן טז</w:t>
      </w:r>
    </w:p>
    <w:p w14:paraId="680CA856" w14:textId="77777777" w:rsidR="00A74586" w:rsidRPr="00A74586" w:rsidRDefault="00A74586" w:rsidP="00A74586">
      <w:pPr>
        <w:rPr>
          <w:rFonts w:ascii="Times New Roman" w:hAnsi="Times New Roman" w:cs="Times New Roman"/>
          <w:color w:val="000000"/>
          <w:rtl/>
        </w:rPr>
      </w:pPr>
    </w:p>
    <w:p w14:paraId="48A2CDEC" w14:textId="77777777" w:rsidR="00A74586" w:rsidRPr="00A74586" w:rsidRDefault="00A74586" w:rsidP="00A74586"/>
    <w:p w14:paraId="28C2B90B" w14:textId="77777777" w:rsidR="00A74586" w:rsidRPr="00A74586" w:rsidRDefault="00A74586" w:rsidP="00A74586"/>
    <w:sectPr w:rsidR="00A74586" w:rsidRPr="00A745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015F" w14:textId="77777777" w:rsidR="00A74586" w:rsidRDefault="00A74586" w:rsidP="00AE281B">
      <w:r>
        <w:separator/>
      </w:r>
    </w:p>
  </w:endnote>
  <w:endnote w:type="continuationSeparator" w:id="0">
    <w:p w14:paraId="3A25F10B" w14:textId="77777777" w:rsidR="00A74586" w:rsidRDefault="00A74586"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E959" w14:textId="77777777" w:rsidR="00A74586" w:rsidRDefault="00A74586">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4EED2" w14:textId="77777777" w:rsidR="00A74586" w:rsidRDefault="00A74586" w:rsidP="00AE281B">
      <w:r>
        <w:separator/>
      </w:r>
    </w:p>
  </w:footnote>
  <w:footnote w:type="continuationSeparator" w:id="0">
    <w:p w14:paraId="575D89C7" w14:textId="77777777" w:rsidR="00A74586" w:rsidRDefault="00A74586" w:rsidP="00AE281B">
      <w:r>
        <w:continuationSeparator/>
      </w:r>
    </w:p>
  </w:footnote>
  <w:footnote w:id="1">
    <w:p w14:paraId="3FCC274A" w14:textId="77777777" w:rsidR="00A74586" w:rsidRPr="00A74586" w:rsidRDefault="00A74586" w:rsidP="00A74586">
      <w:pPr>
        <w:pStyle w:val="FootnoteText"/>
      </w:pPr>
      <w:r>
        <w:rPr>
          <w:rStyle w:val="FootnoteReference"/>
        </w:rPr>
        <w:footnoteRef/>
      </w:r>
      <w:r>
        <w:rPr>
          <w:rtl/>
        </w:rPr>
        <w:t xml:space="preserve"> </w:t>
      </w:r>
      <w:r>
        <w:t xml:space="preserve">See </w:t>
      </w:r>
      <w:hyperlink r:id="rId1" w:history="1">
        <w:r w:rsidRPr="00A74586">
          <w:rPr>
            <w:rStyle w:val="Hyperlink"/>
          </w:rPr>
          <w:t>The Teshuva Rav Ovadia wrote Rav Willig to be mattir the Sepharadi 9-11 Agunah</w:t>
        </w:r>
      </w:hyperlink>
    </w:p>
    <w:p w14:paraId="160C29E3" w14:textId="77777777" w:rsidR="00A74586" w:rsidRPr="00A74586" w:rsidRDefault="00A74586">
      <w:pPr>
        <w:pStyle w:val="FootnoteText"/>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C0F8" w14:textId="77777777" w:rsidR="00EC7C87" w:rsidRDefault="00EC7C87" w:rsidP="00A74586">
    <w:pPr>
      <w:pStyle w:val="Header"/>
      <w:bidi w:val="0"/>
    </w:pPr>
    <w:r>
      <w:rPr>
        <w:rFonts w:hint="cs"/>
        <w:rtl/>
      </w:rPr>
      <w:t xml:space="preserve"> מס' כתובות י</w:t>
    </w:r>
    <w:r w:rsidR="00A74586">
      <w:rPr>
        <w:rFonts w:hint="cs"/>
        <w:rtl/>
      </w:rPr>
      <w:t>ד:</w:t>
    </w:r>
    <w:r w:rsidR="00AE281B">
      <w:rPr>
        <w:rtl/>
      </w:rPr>
      <w:tab/>
    </w:r>
    <w:r>
      <w:rPr>
        <w:rFonts w:hint="cs"/>
        <w:rtl/>
      </w:rPr>
      <w:t xml:space="preserve">  </w:t>
    </w:r>
    <w:r w:rsidR="00A74586">
      <w:rPr>
        <w:rFonts w:hint="cs"/>
        <w:rtl/>
      </w:rPr>
      <w:t>כה ניסן</w:t>
    </w:r>
    <w:r>
      <w:rPr>
        <w:rFonts w:hint="cs"/>
        <w:rtl/>
      </w:rPr>
      <w:t xml:space="preserve"> תשע"ה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048B9"/>
    <w:multiLevelType w:val="multilevel"/>
    <w:tmpl w:val="3BF69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86"/>
    <w:rsid w:val="000D33A5"/>
    <w:rsid w:val="00125C0B"/>
    <w:rsid w:val="007A4624"/>
    <w:rsid w:val="00956A5D"/>
    <w:rsid w:val="00995396"/>
    <w:rsid w:val="009F21CB"/>
    <w:rsid w:val="00A74586"/>
    <w:rsid w:val="00AE281B"/>
    <w:rsid w:val="00BC2476"/>
    <w:rsid w:val="00C402D8"/>
    <w:rsid w:val="00EC7C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8AE8"/>
  <w15:chartTrackingRefBased/>
  <w15:docId w15:val="{4F535485-37E1-46B6-B82B-4E083629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AE281B"/>
    <w:pPr>
      <w:jc w:val="center"/>
    </w:pPr>
    <w:rPr>
      <w:sz w:val="40"/>
      <w:szCs w:val="40"/>
    </w:rPr>
  </w:style>
  <w:style w:type="character" w:customStyle="1" w:styleId="TitleChar">
    <w:name w:val="Title Char"/>
    <w:basedOn w:val="DefaultParagraphFont"/>
    <w:link w:val="Title"/>
    <w:uiPriority w:val="10"/>
    <w:rsid w:val="00AE281B"/>
    <w:rPr>
      <w:rFonts w:ascii="Narkisim" w:hAnsi="Narkisim" w:cs="Narkisim"/>
      <w:color w:val="000080"/>
      <w:sz w:val="40"/>
      <w:szCs w:val="40"/>
    </w:rPr>
  </w:style>
  <w:style w:type="paragraph" w:styleId="NormalWeb">
    <w:name w:val="Normal (Web)"/>
    <w:basedOn w:val="Normal"/>
    <w:uiPriority w:val="99"/>
    <w:semiHidden/>
    <w:unhideWhenUsed/>
    <w:rsid w:val="00A745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586"/>
    <w:rPr>
      <w:color w:val="0000FF"/>
      <w:u w:val="single"/>
    </w:rPr>
  </w:style>
  <w:style w:type="paragraph" w:styleId="FootnoteText">
    <w:name w:val="footnote text"/>
    <w:basedOn w:val="Normal"/>
    <w:link w:val="FootnoteTextChar"/>
    <w:uiPriority w:val="99"/>
    <w:semiHidden/>
    <w:unhideWhenUsed/>
    <w:rsid w:val="00A7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586"/>
    <w:rPr>
      <w:rFonts w:ascii="Narkisim" w:hAnsi="Narkisim" w:cs="Narkisim"/>
      <w:sz w:val="20"/>
      <w:szCs w:val="20"/>
    </w:rPr>
  </w:style>
  <w:style w:type="character" w:styleId="FootnoteReference">
    <w:name w:val="footnote reference"/>
    <w:basedOn w:val="DefaultParagraphFont"/>
    <w:uiPriority w:val="99"/>
    <w:semiHidden/>
    <w:unhideWhenUsed/>
    <w:rsid w:val="00A74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406197885">
      <w:bodyDiv w:val="1"/>
      <w:marLeft w:val="0"/>
      <w:marRight w:val="0"/>
      <w:marTop w:val="0"/>
      <w:marBottom w:val="0"/>
      <w:divBdr>
        <w:top w:val="none" w:sz="0" w:space="0" w:color="auto"/>
        <w:left w:val="none" w:sz="0" w:space="0" w:color="auto"/>
        <w:bottom w:val="none" w:sz="0" w:space="0" w:color="auto"/>
        <w:right w:val="none" w:sz="0" w:space="0" w:color="auto"/>
      </w:divBdr>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98201345">
      <w:bodyDiv w:val="1"/>
      <w:marLeft w:val="0"/>
      <w:marRight w:val="0"/>
      <w:marTop w:val="0"/>
      <w:marBottom w:val="0"/>
      <w:divBdr>
        <w:top w:val="none" w:sz="0" w:space="0" w:color="auto"/>
        <w:left w:val="none" w:sz="0" w:space="0" w:color="auto"/>
        <w:bottom w:val="none" w:sz="0" w:space="0" w:color="auto"/>
        <w:right w:val="none" w:sz="0" w:space="0" w:color="auto"/>
      </w:divBdr>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71795898">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727369/Rabbi_Ovadia_Yosef/%D7%94%D7%AA%D7%A8%D7%AA_%D7%A2%D7%92%D7%95%D7%A0%D7%94_%D7%9E%D7%91%D7%A0%D7%99%D7%A0%D7%99_%D7%94%D7%AA%D7%90%D7%95%D7%9E%D7%99%D7%9D_%D7%91%D7%90%D7%A8%D7%94%2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Documents\&#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8</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cp:revision>
  <dcterms:created xsi:type="dcterms:W3CDTF">2015-04-26T21:45:00Z</dcterms:created>
  <dcterms:modified xsi:type="dcterms:W3CDTF">2015-04-26T21:53:00Z</dcterms:modified>
</cp:coreProperties>
</file>