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F45F" w14:textId="6559CAC5" w:rsidR="009753F6" w:rsidRPr="00A67D58" w:rsidRDefault="00657C70" w:rsidP="00657C70">
      <w:pPr>
        <w:jc w:val="center"/>
        <w:rPr>
          <w:rFonts w:asciiTheme="majorBidi" w:hAnsiTheme="majorBidi" w:cstheme="majorBidi"/>
          <w:rtl/>
        </w:rPr>
      </w:pPr>
      <w:r w:rsidRPr="00A67D58">
        <w:rPr>
          <w:rFonts w:asciiTheme="majorBidi" w:hAnsiTheme="majorBidi" w:cstheme="majorBidi"/>
          <w:b/>
          <w:bCs/>
        </w:rPr>
        <w:t>Sefirat HaOmer without the Beit HaMikdash</w:t>
      </w:r>
    </w:p>
    <w:p w14:paraId="7D6729BA" w14:textId="35F415EA" w:rsidR="00657C70" w:rsidRPr="00A67D58" w:rsidRDefault="00657C70" w:rsidP="00657C70">
      <w:pPr>
        <w:pStyle w:val="ListParagraph"/>
        <w:numPr>
          <w:ilvl w:val="0"/>
          <w:numId w:val="1"/>
        </w:numPr>
        <w:rPr>
          <w:rFonts w:asciiTheme="majorBidi" w:hAnsiTheme="majorBidi" w:cstheme="majorBidi"/>
        </w:rPr>
      </w:pPr>
      <w:r w:rsidRPr="00A67D58">
        <w:rPr>
          <w:rFonts w:asciiTheme="majorBidi" w:hAnsiTheme="majorBidi" w:cstheme="majorBidi"/>
        </w:rPr>
        <w:t xml:space="preserve">Reread the Pesukim </w:t>
      </w:r>
      <w:hyperlink r:id="rId5" w:history="1">
        <w:r w:rsidRPr="00A67D58">
          <w:rPr>
            <w:rStyle w:val="Hyperlink"/>
            <w:rFonts w:asciiTheme="majorBidi" w:hAnsiTheme="majorBidi" w:cstheme="majorBidi"/>
          </w:rPr>
          <w:t>https://www.sefaria.org.il/Leviticus.23.9-16?lang=he&amp;aliyot=0</w:t>
        </w:r>
      </w:hyperlink>
    </w:p>
    <w:p w14:paraId="6FF97DAF" w14:textId="2F65764C" w:rsidR="00657C70" w:rsidRPr="00A67D58" w:rsidRDefault="00657C70" w:rsidP="00657C70">
      <w:pPr>
        <w:pStyle w:val="ListParagraph"/>
        <w:numPr>
          <w:ilvl w:val="1"/>
          <w:numId w:val="1"/>
        </w:numPr>
        <w:rPr>
          <w:rFonts w:asciiTheme="majorBidi" w:hAnsiTheme="majorBidi" w:cstheme="majorBidi"/>
        </w:rPr>
      </w:pPr>
      <w:r w:rsidRPr="00A67D58">
        <w:rPr>
          <w:rFonts w:asciiTheme="majorBidi" w:hAnsiTheme="majorBidi" w:cstheme="majorBidi"/>
        </w:rPr>
        <w:t>Do you think that the counting of the Omer depends on the bringing of the Korban?</w:t>
      </w:r>
    </w:p>
    <w:p w14:paraId="627801D2" w14:textId="407D9FCF" w:rsidR="00657C70" w:rsidRPr="00A67D58" w:rsidRDefault="00657C70" w:rsidP="00657C70">
      <w:pPr>
        <w:pStyle w:val="ListParagraph"/>
        <w:numPr>
          <w:ilvl w:val="0"/>
          <w:numId w:val="1"/>
        </w:numPr>
        <w:rPr>
          <w:rFonts w:asciiTheme="majorBidi" w:hAnsiTheme="majorBidi" w:cstheme="majorBidi"/>
        </w:rPr>
      </w:pPr>
      <w:r w:rsidRPr="00A67D58">
        <w:rPr>
          <w:rFonts w:asciiTheme="majorBidi" w:hAnsiTheme="majorBidi" w:cstheme="majorBidi"/>
        </w:rPr>
        <w:t xml:space="preserve">Read this line in the Gemara and try to explain the Machloket.  What different ways might it be explained? </w:t>
      </w:r>
      <w:hyperlink r:id="rId6" w:history="1">
        <w:r w:rsidRPr="00A67D58">
          <w:rPr>
            <w:rStyle w:val="Hyperlink"/>
            <w:rFonts w:asciiTheme="majorBidi" w:hAnsiTheme="majorBidi" w:cstheme="majorBidi"/>
          </w:rPr>
          <w:t>https://www.sefaria.org.il/Menachot.66a.16?lang=bi</w:t>
        </w:r>
      </w:hyperlink>
    </w:p>
    <w:p w14:paraId="6C2BC480" w14:textId="3EEDD244" w:rsidR="00657C70" w:rsidRPr="00A67D58" w:rsidRDefault="00657C70" w:rsidP="00657C70">
      <w:pPr>
        <w:pStyle w:val="ListParagraph"/>
        <w:numPr>
          <w:ilvl w:val="0"/>
          <w:numId w:val="1"/>
        </w:numPr>
        <w:rPr>
          <w:rFonts w:asciiTheme="majorBidi" w:hAnsiTheme="majorBidi" w:cstheme="majorBidi"/>
        </w:rPr>
      </w:pPr>
      <w:r w:rsidRPr="00A67D58">
        <w:rPr>
          <w:rFonts w:asciiTheme="majorBidi" w:hAnsiTheme="majorBidi" w:cstheme="majorBidi"/>
        </w:rPr>
        <w:t xml:space="preserve">What did Tosafot conclude (s.v. Zecher)? </w:t>
      </w:r>
      <w:hyperlink r:id="rId7" w:history="1">
        <w:r w:rsidRPr="00A67D58">
          <w:rPr>
            <w:rStyle w:val="Hyperlink"/>
            <w:rFonts w:asciiTheme="majorBidi" w:hAnsiTheme="majorBidi" w:cstheme="majorBidi"/>
          </w:rPr>
          <w:t>https://www.sefaria.org.il/Menachot.66a.16?lang=bi&amp;p2=Tosafot_on_Menachot.66a.16.1&amp;lang2=bi</w:t>
        </w:r>
      </w:hyperlink>
    </w:p>
    <w:p w14:paraId="65BCD520" w14:textId="37103ABF" w:rsidR="00657C70" w:rsidRPr="00A67D58" w:rsidRDefault="00657C70" w:rsidP="00657C70">
      <w:pPr>
        <w:pStyle w:val="ListParagraph"/>
        <w:numPr>
          <w:ilvl w:val="0"/>
          <w:numId w:val="1"/>
        </w:numPr>
        <w:rPr>
          <w:rFonts w:asciiTheme="majorBidi" w:hAnsiTheme="majorBidi" w:cstheme="majorBidi"/>
        </w:rPr>
      </w:pPr>
      <w:r w:rsidRPr="00A67D58">
        <w:rPr>
          <w:rFonts w:asciiTheme="majorBidi" w:hAnsiTheme="majorBidi" w:cstheme="majorBidi"/>
        </w:rPr>
        <w:t>What about the Rambam?</w:t>
      </w:r>
    </w:p>
    <w:p w14:paraId="69901E31" w14:textId="77777777" w:rsidR="00657C70" w:rsidRPr="00A67D58" w:rsidRDefault="00657C70" w:rsidP="00A67D58">
      <w:pPr>
        <w:pStyle w:val="NoSpacing"/>
        <w:bidi/>
        <w:rPr>
          <w:rFonts w:asciiTheme="majorBidi" w:hAnsiTheme="majorBidi" w:cstheme="majorBidi"/>
          <w:b/>
          <w:bCs/>
        </w:rPr>
      </w:pPr>
      <w:r w:rsidRPr="00A67D58">
        <w:rPr>
          <w:rFonts w:asciiTheme="majorBidi" w:hAnsiTheme="majorBidi" w:cstheme="majorBidi"/>
          <w:b/>
          <w:bCs/>
          <w:rtl/>
        </w:rPr>
        <w:t>רמב"ם הלכות תמידין ומוספין פרק ז הלכה כב - כד</w:t>
      </w:r>
    </w:p>
    <w:p w14:paraId="1C64D0DD" w14:textId="5801D481" w:rsidR="00657C70" w:rsidRPr="00A67D58" w:rsidRDefault="00657C70" w:rsidP="00A67D58">
      <w:pPr>
        <w:pStyle w:val="NoSpacing"/>
        <w:bidi/>
        <w:rPr>
          <w:rFonts w:asciiTheme="majorBidi" w:hAnsiTheme="majorBidi" w:cstheme="majorBidi"/>
        </w:rPr>
      </w:pPr>
      <w:r w:rsidRPr="00A67D58">
        <w:rPr>
          <w:rFonts w:asciiTheme="majorBidi" w:hAnsiTheme="majorBidi" w:cstheme="majorBidi"/>
          <w:b/>
          <w:bCs/>
          <w:rtl/>
        </w:rPr>
        <w:t>הלכה כב</w:t>
      </w:r>
      <w:r w:rsidRPr="00A67D58">
        <w:rPr>
          <w:rFonts w:asciiTheme="majorBidi" w:hAnsiTheme="majorBidi" w:cstheme="majorBidi"/>
        </w:rPr>
        <w:t xml:space="preserve">: </w:t>
      </w:r>
      <w:r w:rsidRPr="00A67D58">
        <w:rPr>
          <w:rFonts w:asciiTheme="majorBidi" w:hAnsiTheme="majorBidi" w:cstheme="majorBidi"/>
          <w:rtl/>
        </w:rPr>
        <w:t>מצות עשה לספור שבע שבתות תמימות מיום הבאת העומר שנאמר וספרתם לכם ממחרת השבת שבע שבתות, ומצוה למנות הימים עם השבועות שנאמר תספרו חמשים יום, ומתחילת היום מונין לפיכך מונה בלילה מליל ששה עשר בניסן</w:t>
      </w:r>
      <w:r w:rsidRPr="00A67D58">
        <w:rPr>
          <w:rFonts w:asciiTheme="majorBidi" w:hAnsiTheme="majorBidi" w:cstheme="majorBidi"/>
        </w:rPr>
        <w:t xml:space="preserve">. </w:t>
      </w:r>
    </w:p>
    <w:p w14:paraId="31BA19EF" w14:textId="6E76BE8E" w:rsidR="00657C70" w:rsidRPr="00A67D58" w:rsidRDefault="00657C70" w:rsidP="00A67D58">
      <w:pPr>
        <w:pStyle w:val="NoSpacing"/>
        <w:bidi/>
        <w:rPr>
          <w:rFonts w:asciiTheme="majorBidi" w:hAnsiTheme="majorBidi" w:cstheme="majorBidi"/>
        </w:rPr>
      </w:pPr>
      <w:r w:rsidRPr="00A67D58">
        <w:rPr>
          <w:rFonts w:asciiTheme="majorBidi" w:hAnsiTheme="majorBidi" w:cstheme="majorBidi"/>
          <w:b/>
          <w:bCs/>
          <w:rtl/>
        </w:rPr>
        <w:t>הלכה כג</w:t>
      </w:r>
      <w:r w:rsidR="00A67D58" w:rsidRPr="00A67D58">
        <w:rPr>
          <w:rFonts w:asciiTheme="majorBidi" w:hAnsiTheme="majorBidi" w:cstheme="majorBidi"/>
          <w:b/>
          <w:bCs/>
        </w:rPr>
        <w:t>:</w:t>
      </w:r>
      <w:r w:rsidRPr="00A67D58">
        <w:rPr>
          <w:rFonts w:asciiTheme="majorBidi" w:hAnsiTheme="majorBidi" w:cstheme="majorBidi"/>
        </w:rPr>
        <w:t xml:space="preserve"> </w:t>
      </w:r>
      <w:r w:rsidRPr="00A67D58">
        <w:rPr>
          <w:rFonts w:asciiTheme="majorBidi" w:hAnsiTheme="majorBidi" w:cstheme="majorBidi"/>
          <w:rtl/>
        </w:rPr>
        <w:t>שכח ולא מנה בלילה מונה ביום ואין מונין אלא מעומד, ואם מנה מיושב יצא</w:t>
      </w:r>
      <w:r w:rsidRPr="00A67D58">
        <w:rPr>
          <w:rFonts w:asciiTheme="majorBidi" w:hAnsiTheme="majorBidi" w:cstheme="majorBidi"/>
        </w:rPr>
        <w:t xml:space="preserve">. </w:t>
      </w:r>
    </w:p>
    <w:p w14:paraId="335E128F" w14:textId="4BAC7BF8" w:rsidR="00657C70" w:rsidRPr="00A67D58" w:rsidRDefault="00657C70" w:rsidP="00A67D58">
      <w:pPr>
        <w:pStyle w:val="NoSpacing"/>
        <w:bidi/>
        <w:rPr>
          <w:rFonts w:asciiTheme="majorBidi" w:hAnsiTheme="majorBidi" w:cstheme="majorBidi"/>
        </w:rPr>
      </w:pPr>
      <w:r w:rsidRPr="00A67D58">
        <w:rPr>
          <w:rFonts w:asciiTheme="majorBidi" w:hAnsiTheme="majorBidi" w:cstheme="majorBidi"/>
          <w:b/>
          <w:bCs/>
          <w:rtl/>
        </w:rPr>
        <w:t>הלכה כד</w:t>
      </w:r>
      <w:r w:rsidRPr="00A67D58">
        <w:rPr>
          <w:rFonts w:asciiTheme="majorBidi" w:hAnsiTheme="majorBidi" w:cstheme="majorBidi"/>
          <w:b/>
          <w:bCs/>
        </w:rPr>
        <w:t>:</w:t>
      </w:r>
      <w:r w:rsidRPr="00A67D58">
        <w:rPr>
          <w:rFonts w:asciiTheme="majorBidi" w:hAnsiTheme="majorBidi" w:cstheme="majorBidi"/>
        </w:rPr>
        <w:t xml:space="preserve"> </w:t>
      </w:r>
      <w:r w:rsidRPr="00A67D58">
        <w:rPr>
          <w:rFonts w:asciiTheme="majorBidi" w:hAnsiTheme="majorBidi" w:cstheme="majorBidi"/>
          <w:rtl/>
        </w:rPr>
        <w:t>מצוה זו על כל איש מישראל ובכל מקום ובכל זמן, ונשים ועבדים פטורין ממנה</w:t>
      </w:r>
      <w:r w:rsidRPr="00A67D58">
        <w:rPr>
          <w:rFonts w:asciiTheme="majorBidi" w:hAnsiTheme="majorBidi" w:cstheme="majorBidi"/>
        </w:rPr>
        <w:t>.</w:t>
      </w:r>
    </w:p>
    <w:p w14:paraId="331CAF1D" w14:textId="77777777" w:rsidR="00A67D58" w:rsidRPr="00A67D58" w:rsidRDefault="00A67D58" w:rsidP="00A67D58">
      <w:pPr>
        <w:pStyle w:val="NoSpacing"/>
        <w:bidi/>
        <w:rPr>
          <w:rFonts w:asciiTheme="majorBidi" w:hAnsiTheme="majorBidi" w:cstheme="majorBidi"/>
        </w:rPr>
      </w:pPr>
    </w:p>
    <w:p w14:paraId="77D5321E" w14:textId="4AB3ABE9" w:rsidR="00657C70" w:rsidRPr="00A67D58" w:rsidRDefault="00657C70" w:rsidP="00657C70">
      <w:pPr>
        <w:pStyle w:val="ListParagraph"/>
        <w:numPr>
          <w:ilvl w:val="0"/>
          <w:numId w:val="1"/>
        </w:numPr>
        <w:rPr>
          <w:rFonts w:asciiTheme="majorBidi" w:hAnsiTheme="majorBidi" w:cstheme="majorBidi"/>
        </w:rPr>
      </w:pPr>
      <w:r w:rsidRPr="00A67D58">
        <w:rPr>
          <w:rFonts w:asciiTheme="majorBidi" w:hAnsiTheme="majorBidi" w:cstheme="majorBidi"/>
        </w:rPr>
        <w:t>See the following Aggadic comment by the Ran.  How might it explain this issue?</w:t>
      </w:r>
    </w:p>
    <w:p w14:paraId="7179E954" w14:textId="77777777" w:rsidR="00657C70" w:rsidRPr="00A67D58" w:rsidRDefault="00657C70" w:rsidP="00A67D58">
      <w:pPr>
        <w:bidi/>
        <w:ind w:left="360"/>
        <w:rPr>
          <w:rFonts w:asciiTheme="majorBidi" w:hAnsiTheme="majorBidi" w:cstheme="majorBidi"/>
        </w:rPr>
      </w:pPr>
      <w:r w:rsidRPr="00A67D58">
        <w:rPr>
          <w:rFonts w:asciiTheme="majorBidi" w:hAnsiTheme="majorBidi" w:cstheme="majorBidi"/>
          <w:rtl/>
        </w:rPr>
        <w:t>ר"ן על הרי"ף מסכת פסחים דף כח עמוד א</w:t>
      </w:r>
    </w:p>
    <w:p w14:paraId="69D6E607" w14:textId="73DAA852" w:rsidR="00657C70" w:rsidRPr="00A67D58" w:rsidRDefault="00657C70" w:rsidP="00A67D58">
      <w:pPr>
        <w:bidi/>
        <w:rPr>
          <w:rFonts w:asciiTheme="majorBidi" w:hAnsiTheme="majorBidi" w:cstheme="majorBidi"/>
        </w:rPr>
      </w:pPr>
      <w:r w:rsidRPr="00A67D58">
        <w:rPr>
          <w:rFonts w:asciiTheme="majorBidi" w:hAnsiTheme="majorBidi" w:cstheme="majorBidi"/>
          <w:rtl/>
        </w:rPr>
        <w:t>ובהגדה גם כן אמרו בשעה שאמר להם משה תעבדון את האלהים על ההר הזה אמרו לו ישראל משה רבינו אימתי עבודה זו אמר להם לסוף חמשים יום והיו מונין כל אחד ואחד לעצמו מכאן קבעו חכמים לספירת העומר כלומר בזמן הזה שאין אנו מביאין קרבן ולא עומר אלא מחשבין נ' יום לשמחת התורה כמו שמנו ישראל באותו זמן וזה ודאי דרך מדרש הוא דעיקרא דמילתא זכר למקדש כדאמר אמימר אבל מ"מ כל זה מוכיח שאין הספירה עכשיו אלא מדרבנן ולפיכך אמרו בתוספות דכיון דמדרבנן היא טוב לספור ביום ראשון בספק חשיכה כדי שיהיו שבע שבתות תמימות לגמרי ואין זה נכון שיכניס עצמו בספק לכתחלה ואי משום תמימות אין להחמיר בתמימות בזמן הזה שהוא מדרבנן טפי מספירה דאורייתא אלא כל שסופר בלילה תמימות קרינן ביה אבל הרמב"ם ז"ל כתב בפ' ח' מהלכות תמידין ומוספין שמצוה זו של ספירת העומר מוטל' על כל איש ישראל בכל מקום ובכל זמן ומשמע לי דסבירא ליה ז"ל דאמימר דלא הוה מני שבועי הוא דס"ל דזכר למקדש בעלמא הוא ולפיכך היה פוטר עצמו מן השבועות אבל אינך רבנן דהוו מנו יומי ושבועי דקיימא לן כותייהו סבירא להו דבזמן הזה דאורייתא</w:t>
      </w:r>
      <w:r w:rsidRPr="00A67D58">
        <w:rPr>
          <w:rFonts w:asciiTheme="majorBidi" w:hAnsiTheme="majorBidi" w:cstheme="majorBidi"/>
        </w:rPr>
        <w:t>.</w:t>
      </w:r>
    </w:p>
    <w:p w14:paraId="510AC1C2" w14:textId="432F57B6" w:rsidR="00A67D58" w:rsidRPr="00A67D58" w:rsidRDefault="00A67D58" w:rsidP="00A67D58">
      <w:pPr>
        <w:pStyle w:val="ListParagraph"/>
        <w:numPr>
          <w:ilvl w:val="0"/>
          <w:numId w:val="1"/>
        </w:numPr>
        <w:rPr>
          <w:rFonts w:asciiTheme="majorBidi" w:hAnsiTheme="majorBidi" w:cstheme="majorBidi"/>
        </w:rPr>
      </w:pPr>
      <w:r w:rsidRPr="00A67D58">
        <w:rPr>
          <w:rFonts w:asciiTheme="majorBidi" w:hAnsiTheme="majorBidi" w:cstheme="majorBidi"/>
        </w:rPr>
        <w:t>How does R. Chaim understand the Rambam?</w:t>
      </w:r>
      <w:r w:rsidRPr="00A67D58">
        <w:rPr>
          <w:rFonts w:asciiTheme="majorBidi" w:hAnsiTheme="majorBidi" w:cstheme="majorBidi"/>
          <w:rtl/>
        </w:rPr>
        <w:t xml:space="preserve">  </w:t>
      </w:r>
    </w:p>
    <w:p w14:paraId="24B814B5" w14:textId="77777777" w:rsidR="00A67D58" w:rsidRPr="00A67D58" w:rsidRDefault="00A67D58" w:rsidP="00A67D58">
      <w:pPr>
        <w:bidi/>
        <w:rPr>
          <w:rFonts w:asciiTheme="majorBidi" w:hAnsiTheme="majorBidi" w:cstheme="majorBidi"/>
        </w:rPr>
      </w:pPr>
      <w:r w:rsidRPr="00A67D58">
        <w:rPr>
          <w:rFonts w:asciiTheme="majorBidi" w:hAnsiTheme="majorBidi" w:cstheme="majorBidi"/>
          <w:rtl/>
        </w:rPr>
        <w:t>חדושי הגר"ח מסכת מנחות דף סו עמוד א</w:t>
      </w:r>
    </w:p>
    <w:p w14:paraId="44FF2671" w14:textId="77777777" w:rsidR="00A67D58" w:rsidRPr="00A67D58" w:rsidRDefault="00A67D58" w:rsidP="00A67D58">
      <w:pPr>
        <w:bidi/>
        <w:rPr>
          <w:rFonts w:asciiTheme="majorBidi" w:hAnsiTheme="majorBidi" w:cstheme="majorBidi"/>
        </w:rPr>
      </w:pPr>
      <w:r w:rsidRPr="00A67D58">
        <w:rPr>
          <w:rFonts w:asciiTheme="majorBidi" w:hAnsiTheme="majorBidi" w:cstheme="majorBidi"/>
          <w:rtl/>
        </w:rPr>
        <w:t>בענין ספירת העומר</w:t>
      </w:r>
    </w:p>
    <w:p w14:paraId="0B7289DB" w14:textId="77777777" w:rsidR="00A67D58" w:rsidRPr="00A67D58" w:rsidRDefault="00A67D58" w:rsidP="00A67D58">
      <w:pPr>
        <w:bidi/>
        <w:rPr>
          <w:rFonts w:asciiTheme="majorBidi" w:hAnsiTheme="majorBidi" w:cstheme="majorBidi"/>
        </w:rPr>
      </w:pPr>
      <w:r w:rsidRPr="00A67D58">
        <w:rPr>
          <w:rFonts w:asciiTheme="majorBidi" w:hAnsiTheme="majorBidi" w:cstheme="majorBidi"/>
          <w:rtl/>
        </w:rPr>
        <w:t>רמב"ם (פ"ז מהל' תו"מ הכ"ב), ומצוה למנות הימים עם השבועות. וקשה למה פסק כרבנן דבי רב אשי ודלא כאמימר שאינה ככללי הלכות</w:t>
      </w:r>
      <w:r w:rsidRPr="00A67D58">
        <w:rPr>
          <w:rFonts w:asciiTheme="majorBidi" w:hAnsiTheme="majorBidi" w:cstheme="majorBidi"/>
        </w:rPr>
        <w:t>.</w:t>
      </w:r>
    </w:p>
    <w:p w14:paraId="441F5101" w14:textId="77777777" w:rsidR="00A67D58" w:rsidRPr="00A67D58" w:rsidRDefault="00A67D58" w:rsidP="00A67D58">
      <w:pPr>
        <w:bidi/>
        <w:rPr>
          <w:rFonts w:asciiTheme="majorBidi" w:hAnsiTheme="majorBidi" w:cstheme="majorBidi"/>
        </w:rPr>
      </w:pPr>
      <w:r w:rsidRPr="00A67D58">
        <w:rPr>
          <w:rFonts w:asciiTheme="majorBidi" w:hAnsiTheme="majorBidi" w:cstheme="majorBidi"/>
          <w:rtl/>
        </w:rPr>
        <w:t>ונראה שבאמת פסק כאמימר דהרי קדושה שני' לא בטלה ולא בטלה קדושת המקדש, וא"כ דין הקרבה יש גם בזה"ז, ולהכי הוה דאורייתא דהא הספירה בלילה רק שצריך להקרבן, ואמימר סובר דבטלה. וכעין זה יש לבאר הא דאיתא במו"ק (ג ע"ב) דעשר נטיעות דמי לניסוך המים, והקשה הריטב"א שם למה לא מדמי לערבה דקתני סמוך לה, די"ל דבערבה בעי מקום מקדש ושייך גם בזה"ז, משא"כ ניסוך המים דבעי מזבח וממילא בזה"ז דליכא מזבח א"א לנסך, ועשר נטיעות דומיא דניסוך, וממילא גם ליכא ערבה. וכעין זה מש"כ הרמב"ם (פ"ה מהל' מלכים הי"ב) אסור לצאת מבבל לשאר ארצות, ומשמע דלארץ ישראל מותר, דסוגית הגמרא (בכתובות דף קי ע"ב) דבטלה קדושת הארץ והוה לה כשאר ארצות, והר"מ פסק דלא בטלה, ע"כ. [א"ה, עי' כ"ז באורך לעיל במו"ק ג ובכתובות קיא, ובחידושי הגרי"ז מנחות דף סו ע"א]</w:t>
      </w:r>
      <w:r w:rsidRPr="00A67D58">
        <w:rPr>
          <w:rFonts w:asciiTheme="majorBidi" w:hAnsiTheme="majorBidi" w:cstheme="majorBidi"/>
        </w:rPr>
        <w:t>.</w:t>
      </w:r>
    </w:p>
    <w:p w14:paraId="26783D2A" w14:textId="34231D21" w:rsidR="00A67D58" w:rsidRPr="00A67D58" w:rsidRDefault="00A67D58" w:rsidP="00A67D58">
      <w:pPr>
        <w:pStyle w:val="ListParagraph"/>
        <w:numPr>
          <w:ilvl w:val="0"/>
          <w:numId w:val="1"/>
        </w:numPr>
        <w:rPr>
          <w:rFonts w:asciiTheme="majorBidi" w:hAnsiTheme="majorBidi" w:cstheme="majorBidi"/>
        </w:rPr>
      </w:pPr>
      <w:r w:rsidRPr="00A67D58">
        <w:rPr>
          <w:rFonts w:asciiTheme="majorBidi" w:hAnsiTheme="majorBidi" w:cstheme="majorBidi"/>
        </w:rPr>
        <w:t>How does the Keren Orah understand the Rambam?</w:t>
      </w:r>
    </w:p>
    <w:p w14:paraId="720B170B" w14:textId="77777777" w:rsidR="00A67D58" w:rsidRPr="00A67D58" w:rsidRDefault="00A67D58" w:rsidP="00A67D58">
      <w:pPr>
        <w:bidi/>
        <w:ind w:left="360"/>
        <w:rPr>
          <w:rFonts w:asciiTheme="majorBidi" w:hAnsiTheme="majorBidi" w:cstheme="majorBidi"/>
        </w:rPr>
      </w:pPr>
      <w:r w:rsidRPr="00A67D58">
        <w:rPr>
          <w:rFonts w:asciiTheme="majorBidi" w:hAnsiTheme="majorBidi" w:cstheme="majorBidi"/>
          <w:rtl/>
        </w:rPr>
        <w:t>קרן אורה מסכת מנחות דף סו עמוד א</w:t>
      </w:r>
    </w:p>
    <w:p w14:paraId="42215893" w14:textId="0AE345FE" w:rsidR="00A67D58" w:rsidRPr="00A67D58" w:rsidRDefault="00A67D58" w:rsidP="00B54AF5">
      <w:pPr>
        <w:bidi/>
        <w:rPr>
          <w:rFonts w:asciiTheme="majorBidi" w:hAnsiTheme="majorBidi" w:cstheme="majorBidi"/>
        </w:rPr>
      </w:pPr>
      <w:bookmarkStart w:id="0" w:name="_GoBack"/>
      <w:bookmarkEnd w:id="0"/>
      <w:r w:rsidRPr="00A67D58">
        <w:rPr>
          <w:rFonts w:asciiTheme="majorBidi" w:hAnsiTheme="majorBidi" w:cstheme="majorBidi"/>
          <w:rtl/>
        </w:rPr>
        <w:t>צריך לומר דיקצור ויספור לאו דוקא או למצוה בשעת קצירה סופר אחר קצירה, ואם ספר קודם קצירה ג"כ יוצא, והנה בהא וודאי כ"ע מודו דבספירה ג"כ לא נתחייבו עד ביאתם לארץ, דכי כתב כי תבאו אכולהו פרשתא קאי, וכיון דמצוה זו תלויה בארץ אם כן מנ"ל דבזה"ז חיובה ד"ת היא, וכי היכי דקצירה ליכא ספירה נמי ליכא. ולפי מש"כ בחי' ליבמות פ' הערל לצדד דחדש לכ"ע בזה"ז דאורייתא, והקדושה לענין זה לעולם היא, י"ל דנהי דקצירה והבאה ליכא היינו משום דליכא מקדש, אבל החיוב לא בטל, ומש"ה מצות ספירה מחוייבת היא לעולם, וי"ל בזה דרבנן דבי רב אשי לטעמייהו אזלי דס"ל לקמן (ס"ח ע"ב) דחדש בח"ל דאורייתא, וכיון דאיכא איסור חדש שייך ספירה מיום הבאת העומר, אבל למ"ד בח"ל דרבנן ובזה"ז בארץ גם כן מדרבנן וליכא איסור חדש כלל מסתברא דגם ספירה לא הוי אלא מדרבנן</w:t>
      </w:r>
      <w:r w:rsidRPr="00A67D58">
        <w:rPr>
          <w:rFonts w:asciiTheme="majorBidi" w:hAnsiTheme="majorBidi" w:cstheme="majorBidi"/>
        </w:rPr>
        <w:t>.</w:t>
      </w:r>
    </w:p>
    <w:p w14:paraId="56BC4842" w14:textId="3065C146" w:rsidR="00A67D58" w:rsidRPr="00A67D58" w:rsidRDefault="00A67D58" w:rsidP="00A67D58">
      <w:pPr>
        <w:ind w:left="360"/>
        <w:rPr>
          <w:rFonts w:asciiTheme="majorBidi" w:hAnsiTheme="majorBidi" w:cstheme="majorBidi"/>
        </w:rPr>
      </w:pPr>
      <w:r w:rsidRPr="00A67D58">
        <w:rPr>
          <w:rFonts w:asciiTheme="majorBidi" w:hAnsiTheme="majorBidi" w:cstheme="majorBidi"/>
        </w:rPr>
        <w:t xml:space="preserve">For an English summary that will walk you through the lomdus, see </w:t>
      </w:r>
      <w:hyperlink r:id="rId8" w:history="1">
        <w:r w:rsidRPr="00A67D58">
          <w:rPr>
            <w:rStyle w:val="Hyperlink"/>
            <w:rFonts w:asciiTheme="majorBidi" w:hAnsiTheme="majorBidi" w:cstheme="majorBidi"/>
          </w:rPr>
          <w:t>https://www.etzion.org.il/en/sefirat-ha-omer-without-beit-ha-mikdash</w:t>
        </w:r>
      </w:hyperlink>
    </w:p>
    <w:sectPr w:rsidR="00A67D58" w:rsidRPr="00A67D58" w:rsidSect="00A67D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76D9"/>
    <w:multiLevelType w:val="hybridMultilevel"/>
    <w:tmpl w:val="6AC21F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70"/>
    <w:rsid w:val="001274E9"/>
    <w:rsid w:val="00657C70"/>
    <w:rsid w:val="009753F6"/>
    <w:rsid w:val="00A30CEC"/>
    <w:rsid w:val="00A67D58"/>
    <w:rsid w:val="00B54AF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8A44"/>
  <w15:chartTrackingRefBased/>
  <w15:docId w15:val="{6EA98B8D-5C31-44A2-9CE0-24103B23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70"/>
    <w:rPr>
      <w:color w:val="0000FF"/>
      <w:u w:val="single"/>
    </w:rPr>
  </w:style>
  <w:style w:type="paragraph" w:styleId="ListParagraph">
    <w:name w:val="List Paragraph"/>
    <w:basedOn w:val="Normal"/>
    <w:uiPriority w:val="34"/>
    <w:qFormat/>
    <w:rsid w:val="00657C70"/>
    <w:pPr>
      <w:ind w:left="720"/>
      <w:contextualSpacing/>
    </w:pPr>
  </w:style>
  <w:style w:type="character" w:styleId="UnresolvedMention">
    <w:name w:val="Unresolved Mention"/>
    <w:basedOn w:val="DefaultParagraphFont"/>
    <w:uiPriority w:val="99"/>
    <w:semiHidden/>
    <w:unhideWhenUsed/>
    <w:rsid w:val="00657C70"/>
    <w:rPr>
      <w:color w:val="605E5C"/>
      <w:shd w:val="clear" w:color="auto" w:fill="E1DFDD"/>
    </w:rPr>
  </w:style>
  <w:style w:type="paragraph" w:styleId="NoSpacing">
    <w:name w:val="No Spacing"/>
    <w:uiPriority w:val="1"/>
    <w:qFormat/>
    <w:rsid w:val="00A6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26438">
      <w:bodyDiv w:val="1"/>
      <w:marLeft w:val="0"/>
      <w:marRight w:val="0"/>
      <w:marTop w:val="0"/>
      <w:marBottom w:val="0"/>
      <w:divBdr>
        <w:top w:val="none" w:sz="0" w:space="0" w:color="auto"/>
        <w:left w:val="none" w:sz="0" w:space="0" w:color="auto"/>
        <w:bottom w:val="none" w:sz="0" w:space="0" w:color="auto"/>
        <w:right w:val="none" w:sz="0" w:space="0" w:color="auto"/>
      </w:divBdr>
      <w:divsChild>
        <w:div w:id="1536309233">
          <w:marLeft w:val="0"/>
          <w:marRight w:val="0"/>
          <w:marTop w:val="0"/>
          <w:marBottom w:val="0"/>
          <w:divBdr>
            <w:top w:val="none" w:sz="0" w:space="0" w:color="auto"/>
            <w:left w:val="none" w:sz="0" w:space="0" w:color="auto"/>
            <w:bottom w:val="none" w:sz="0" w:space="0" w:color="auto"/>
            <w:right w:val="none" w:sz="0" w:space="0" w:color="auto"/>
          </w:divBdr>
        </w:div>
        <w:div w:id="801731745">
          <w:marLeft w:val="0"/>
          <w:marRight w:val="0"/>
          <w:marTop w:val="0"/>
          <w:marBottom w:val="0"/>
          <w:divBdr>
            <w:top w:val="none" w:sz="0" w:space="0" w:color="auto"/>
            <w:left w:val="none" w:sz="0" w:space="0" w:color="auto"/>
            <w:bottom w:val="none" w:sz="0" w:space="0" w:color="auto"/>
            <w:right w:val="none" w:sz="0" w:space="0" w:color="auto"/>
          </w:divBdr>
        </w:div>
        <w:div w:id="1847673692">
          <w:marLeft w:val="0"/>
          <w:marRight w:val="0"/>
          <w:marTop w:val="0"/>
          <w:marBottom w:val="0"/>
          <w:divBdr>
            <w:top w:val="none" w:sz="0" w:space="0" w:color="auto"/>
            <w:left w:val="none" w:sz="0" w:space="0" w:color="auto"/>
            <w:bottom w:val="none" w:sz="0" w:space="0" w:color="auto"/>
            <w:right w:val="none" w:sz="0" w:space="0" w:color="auto"/>
          </w:divBdr>
        </w:div>
        <w:div w:id="1079400303">
          <w:marLeft w:val="0"/>
          <w:marRight w:val="0"/>
          <w:marTop w:val="0"/>
          <w:marBottom w:val="0"/>
          <w:divBdr>
            <w:top w:val="none" w:sz="0" w:space="0" w:color="auto"/>
            <w:left w:val="none" w:sz="0" w:space="0" w:color="auto"/>
            <w:bottom w:val="none" w:sz="0" w:space="0" w:color="auto"/>
            <w:right w:val="none" w:sz="0" w:space="0" w:color="auto"/>
          </w:divBdr>
        </w:div>
        <w:div w:id="1880050284">
          <w:marLeft w:val="0"/>
          <w:marRight w:val="0"/>
          <w:marTop w:val="0"/>
          <w:marBottom w:val="0"/>
          <w:divBdr>
            <w:top w:val="none" w:sz="0" w:space="0" w:color="auto"/>
            <w:left w:val="none" w:sz="0" w:space="0" w:color="auto"/>
            <w:bottom w:val="none" w:sz="0" w:space="0" w:color="auto"/>
            <w:right w:val="none" w:sz="0" w:space="0" w:color="auto"/>
          </w:divBdr>
        </w:div>
        <w:div w:id="599685253">
          <w:marLeft w:val="0"/>
          <w:marRight w:val="0"/>
          <w:marTop w:val="0"/>
          <w:marBottom w:val="0"/>
          <w:divBdr>
            <w:top w:val="none" w:sz="0" w:space="0" w:color="auto"/>
            <w:left w:val="none" w:sz="0" w:space="0" w:color="auto"/>
            <w:bottom w:val="none" w:sz="0" w:space="0" w:color="auto"/>
            <w:right w:val="none" w:sz="0" w:space="0" w:color="auto"/>
          </w:divBdr>
        </w:div>
        <w:div w:id="1087461099">
          <w:marLeft w:val="0"/>
          <w:marRight w:val="0"/>
          <w:marTop w:val="0"/>
          <w:marBottom w:val="0"/>
          <w:divBdr>
            <w:top w:val="none" w:sz="0" w:space="0" w:color="auto"/>
            <w:left w:val="none" w:sz="0" w:space="0" w:color="auto"/>
            <w:bottom w:val="none" w:sz="0" w:space="0" w:color="auto"/>
            <w:right w:val="none" w:sz="0" w:space="0" w:color="auto"/>
          </w:divBdr>
        </w:div>
        <w:div w:id="26773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efirat-ha-omer-without-beit-ha-mikdash" TargetMode="External"/><Relationship Id="rId3" Type="http://schemas.openxmlformats.org/officeDocument/2006/relationships/settings" Target="settings.xml"/><Relationship Id="rId7" Type="http://schemas.openxmlformats.org/officeDocument/2006/relationships/hyperlink" Target="https://www.sefaria.org.il/Menachot.66a.16?lang=bi&amp;p2=Tosafot_on_Menachot.66a.16.1&amp;lang2=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il/Menachot.66a.16?lang=bi" TargetMode="External"/><Relationship Id="rId5" Type="http://schemas.openxmlformats.org/officeDocument/2006/relationships/hyperlink" Target="https://www.sefaria.org.il/Leviticus.23.9-16?lang=he&amp;aliyot=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2020-03-23T08:08:00Z</dcterms:created>
  <dcterms:modified xsi:type="dcterms:W3CDTF">2020-03-23T08:40:00Z</dcterms:modified>
</cp:coreProperties>
</file>