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69F43" w14:textId="77777777" w:rsidR="009E0B97" w:rsidRPr="009E3261" w:rsidRDefault="009E0B97" w:rsidP="008164C0">
      <w:pPr>
        <w:pStyle w:val="NoSpacing"/>
        <w:numPr>
          <w:ilvl w:val="0"/>
          <w:numId w:val="1"/>
        </w:numPr>
        <w:bidi/>
        <w:ind w:left="26"/>
        <w:rPr>
          <w:b/>
          <w:bCs/>
          <w:u w:val="single"/>
        </w:rPr>
      </w:pPr>
      <w:r w:rsidRPr="009E3261">
        <w:rPr>
          <w:b/>
          <w:bCs/>
          <w:u w:val="single"/>
          <w:rtl/>
        </w:rPr>
        <w:t xml:space="preserve">שולחן ערוך אורח חיים הלכות ברכת הפירות סימן </w:t>
      </w:r>
      <w:proofErr w:type="spellStart"/>
      <w:r w:rsidRPr="009E3261">
        <w:rPr>
          <w:b/>
          <w:bCs/>
          <w:u w:val="single"/>
          <w:rtl/>
        </w:rPr>
        <w:t>רכג</w:t>
      </w:r>
      <w:proofErr w:type="spellEnd"/>
      <w:r w:rsidRPr="009E3261">
        <w:rPr>
          <w:b/>
          <w:bCs/>
          <w:u w:val="single"/>
          <w:rtl/>
        </w:rPr>
        <w:t xml:space="preserve"> סעיף ב</w:t>
      </w:r>
    </w:p>
    <w:p w14:paraId="5908B317" w14:textId="77777777" w:rsidR="00D02AC3" w:rsidRDefault="009E0B97" w:rsidP="008164C0">
      <w:pPr>
        <w:pStyle w:val="NoSpacing"/>
        <w:bidi/>
        <w:ind w:left="26"/>
      </w:pPr>
      <w:r>
        <w:rPr>
          <w:rtl/>
        </w:rPr>
        <w:t>(ח) ד {ב} מת ב) אביו, ג'] ה] מברך: דיין האמת; היה לו ממון שירשו, אם * אין לו אחים מברך (ט) גם כן: שהחיינו; * ואם יש לו אחים, (י) &lt;ב&gt; ו] במקום שהחיינו מברך: הטוב והמטיב. הגה: שאין מברכין הטוב והמטיב אא"כ יש לו שותפות באותה טובה (טור</w:t>
      </w:r>
      <w:r>
        <w:t>).</w:t>
      </w:r>
    </w:p>
    <w:p w14:paraId="3DCB6CD2" w14:textId="77777777" w:rsidR="009E0B97" w:rsidRPr="009E3261" w:rsidRDefault="009E0B97" w:rsidP="008164C0">
      <w:pPr>
        <w:pStyle w:val="NoSpacing"/>
        <w:numPr>
          <w:ilvl w:val="0"/>
          <w:numId w:val="1"/>
        </w:numPr>
        <w:bidi/>
        <w:ind w:left="26"/>
        <w:rPr>
          <w:b/>
          <w:bCs/>
          <w:u w:val="single"/>
        </w:rPr>
      </w:pPr>
      <w:r w:rsidRPr="009E3261">
        <w:rPr>
          <w:b/>
          <w:bCs/>
          <w:u w:val="single"/>
          <w:rtl/>
        </w:rPr>
        <w:t>תלמוד בבלי מסכת ברכות דף נט עמוד ב</w:t>
      </w:r>
    </w:p>
    <w:p w14:paraId="401A8A9B" w14:textId="77777777" w:rsidR="009E0B97" w:rsidRDefault="009E0B97" w:rsidP="008164C0">
      <w:pPr>
        <w:pStyle w:val="NoSpacing"/>
        <w:bidi/>
        <w:ind w:left="26"/>
      </w:pPr>
      <w:r>
        <w:rPr>
          <w:rtl/>
        </w:rPr>
        <w:t>וכל היכא דלית לאחרינא בהדיה לא מברך הטוב והמטיב? - והתניא, אמרו ליה: ילדה אשתו זכר, אומר ברוך הטוב והמטיב! - התם נמי, דאיכא אשתו בהדיה, דניחא לה בזכר. תא שמע: מת אביו והוא יורשו, בתחלה אומר ברוך דיין האמת ולבסוף הוא אומר ברוך הטוב והמטיב! - התם נמי, דאיכא אחי דקא ירתי בהדיה</w:t>
      </w:r>
      <w:r>
        <w:t>.</w:t>
      </w:r>
    </w:p>
    <w:p w14:paraId="55443FBD" w14:textId="77777777" w:rsidR="009E0B97" w:rsidRPr="009E3261" w:rsidRDefault="009E0B97" w:rsidP="008164C0">
      <w:pPr>
        <w:pStyle w:val="NoSpacing"/>
        <w:numPr>
          <w:ilvl w:val="0"/>
          <w:numId w:val="1"/>
        </w:numPr>
        <w:bidi/>
        <w:ind w:left="26"/>
        <w:rPr>
          <w:b/>
          <w:bCs/>
          <w:u w:val="single"/>
        </w:rPr>
      </w:pPr>
      <w:r w:rsidRPr="009E3261">
        <w:rPr>
          <w:b/>
          <w:bCs/>
          <w:u w:val="single"/>
          <w:rtl/>
        </w:rPr>
        <w:t>מגן אברהם סימן רכג ס"ק ד</w:t>
      </w:r>
    </w:p>
    <w:p w14:paraId="364E10EC" w14:textId="77777777" w:rsidR="009E0B97" w:rsidRDefault="009E0B97" w:rsidP="008164C0">
      <w:pPr>
        <w:pStyle w:val="NoSpacing"/>
        <w:bidi/>
        <w:ind w:left="26"/>
      </w:pPr>
      <w:r>
        <w:rPr>
          <w:rtl/>
        </w:rPr>
        <w:t>ד (פמ"ג) (מחה"ש) מת אביו. וה"ה שאר אדם כשר ומכ"ש ת"ח דהוי בכלל שמועות רעות והעולם נהגו לאומרו בלא שם ומלכות ואינו נכון (ב"ח) ועבי"ד סימן ש"מ ס"ו</w:t>
      </w:r>
      <w:r>
        <w:t>:</w:t>
      </w:r>
    </w:p>
    <w:p w14:paraId="6BEC10B6" w14:textId="77777777" w:rsidR="009E0B97" w:rsidRPr="009E3261" w:rsidRDefault="009E0B97" w:rsidP="008164C0">
      <w:pPr>
        <w:pStyle w:val="NoSpacing"/>
        <w:numPr>
          <w:ilvl w:val="0"/>
          <w:numId w:val="1"/>
        </w:numPr>
        <w:bidi/>
        <w:ind w:left="26"/>
        <w:rPr>
          <w:b/>
          <w:bCs/>
          <w:u w:val="single"/>
        </w:rPr>
      </w:pPr>
      <w:r w:rsidRPr="009E3261">
        <w:rPr>
          <w:b/>
          <w:bCs/>
          <w:u w:val="single"/>
          <w:rtl/>
        </w:rPr>
        <w:t>מחצית השקל אורח חיים סימן רכג ס"ק ד</w:t>
      </w:r>
    </w:p>
    <w:p w14:paraId="5A4A144C" w14:textId="77777777" w:rsidR="009E0B97" w:rsidRDefault="009E0B97" w:rsidP="008164C0">
      <w:pPr>
        <w:pStyle w:val="NoSpacing"/>
        <w:bidi/>
        <w:ind w:left="26"/>
      </w:pPr>
      <w:r>
        <w:rPr>
          <w:rtl/>
        </w:rPr>
        <w:t>(ד) מת אביו. כו' ועיין ביורה דעה סימן ש"מ סעיף ו'. מהו נקרא אדם כשר, ודין הקריעה באדם כשר. ועיין בט"ז [ס"ק ד] שכתב דמנהג שלא לומר שם ומלכות על אדם אחר, אלא על מי שנצטער במיתתו, אבל על תלמיד חכם ח"ו ודא</w:t>
      </w:r>
      <w:bookmarkStart w:id="0" w:name="_GoBack"/>
      <w:bookmarkEnd w:id="0"/>
      <w:r>
        <w:rPr>
          <w:rtl/>
        </w:rPr>
        <w:t>י יזכיר שם ומלכות</w:t>
      </w:r>
      <w:r>
        <w:t>:</w:t>
      </w:r>
    </w:p>
    <w:p w14:paraId="66F97CF3" w14:textId="77777777" w:rsidR="009E0B97" w:rsidRPr="009E3261" w:rsidRDefault="009E0B97" w:rsidP="008164C0">
      <w:pPr>
        <w:pStyle w:val="NoSpacing"/>
        <w:numPr>
          <w:ilvl w:val="0"/>
          <w:numId w:val="1"/>
        </w:numPr>
        <w:bidi/>
        <w:ind w:left="26"/>
        <w:rPr>
          <w:b/>
          <w:bCs/>
          <w:u w:val="single"/>
        </w:rPr>
      </w:pPr>
      <w:r w:rsidRPr="009E3261">
        <w:rPr>
          <w:b/>
          <w:bCs/>
          <w:u w:val="single"/>
          <w:rtl/>
        </w:rPr>
        <w:t>ט"ז אורח חיים סימן רכג</w:t>
      </w:r>
    </w:p>
    <w:p w14:paraId="0C3B7236" w14:textId="77777777" w:rsidR="009E0B97" w:rsidRDefault="009E0B97" w:rsidP="008164C0">
      <w:pPr>
        <w:pStyle w:val="NoSpacing"/>
        <w:bidi/>
        <w:ind w:left="26"/>
      </w:pPr>
      <w:r>
        <w:rPr>
          <w:rtl/>
        </w:rPr>
        <w:t>כל הברכות הכתובים בזה הסי' פשוט שהם בשם ומלכות זולת בברכת דיין האמת שבודאי יש לאומרו אפי' על אחר שמת ולא זכרו אביו רק משום ברכות אחרות השייכים לו אלא דמנהג העולם בשמיע' שמת אח' שאומרים ברוך דיין אמת בלא שם ומלכות אלא במי שיש לו צער במיתתו וכ"ש באדם חשוב שמת ודאי י"ל בשם ומלכות שזהו בכלל שמועות רעות ח"ו וכמ"ש הטור בסי' רכ"ה בשם הראב"ד לענין ברכה דמשנה הבריות</w:t>
      </w:r>
      <w:r>
        <w:t>:</w:t>
      </w:r>
    </w:p>
    <w:p w14:paraId="5F9945BA" w14:textId="77777777" w:rsidR="009E0B97" w:rsidRPr="009E3261" w:rsidRDefault="009E0B97" w:rsidP="008164C0">
      <w:pPr>
        <w:pStyle w:val="NoSpacing"/>
        <w:numPr>
          <w:ilvl w:val="0"/>
          <w:numId w:val="1"/>
        </w:numPr>
        <w:bidi/>
        <w:ind w:left="26"/>
        <w:rPr>
          <w:b/>
          <w:bCs/>
          <w:u w:val="single"/>
        </w:rPr>
      </w:pPr>
      <w:r w:rsidRPr="009E3261">
        <w:rPr>
          <w:b/>
          <w:bCs/>
          <w:u w:val="single"/>
          <w:rtl/>
        </w:rPr>
        <w:t>שולחן ערוך יורה דעה הלכות קריעה סימן שמ סעיף ו</w:t>
      </w:r>
    </w:p>
    <w:p w14:paraId="1614CEAF" w14:textId="77777777" w:rsidR="009E0B97" w:rsidRDefault="009E0B97" w:rsidP="008164C0">
      <w:pPr>
        <w:pStyle w:val="NoSpacing"/>
        <w:bidi/>
        <w:ind w:left="26"/>
      </w:pPr>
      <w:r>
        <w:rPr>
          <w:rtl/>
        </w:rPr>
        <w:t>יא על (ו) אדם כשר, שאינו חשוד על שום עבירה ולא על שום ביטול מצוה, ולא סני שומעניה, יד] אף על פי שאינו גדול בתורה ואף על פי שלא עמד בשעת יציאת נשמה, חייב לקרוע עליו; יב טו] והוא שעומד שם בין מיתה לקבורה; טז] יג (ז) ותלמידי חכמים פטורים מקריעה זו. הגה: יז] וי"א דאין חייב לקרוע על אדם כשר, אלא אם כן עומד עליו בשעת יציאת נשמה; אבל חייב לבכות ולהתאבל עליו (ר"ן פ' האורג והגהות מיימוני פי"א בשם ראבי"ה), וכן נהגו להקל</w:t>
      </w:r>
      <w:r>
        <w:t>.</w:t>
      </w:r>
    </w:p>
    <w:p w14:paraId="3749C872" w14:textId="77777777" w:rsidR="00B31D99" w:rsidRPr="009E3261" w:rsidRDefault="00B31D99" w:rsidP="008164C0">
      <w:pPr>
        <w:pStyle w:val="NoSpacing"/>
        <w:numPr>
          <w:ilvl w:val="0"/>
          <w:numId w:val="1"/>
        </w:numPr>
        <w:bidi/>
        <w:ind w:left="26"/>
        <w:rPr>
          <w:b/>
          <w:bCs/>
          <w:u w:val="single"/>
        </w:rPr>
      </w:pPr>
      <w:r w:rsidRPr="009E3261">
        <w:rPr>
          <w:b/>
          <w:bCs/>
          <w:u w:val="single"/>
          <w:rtl/>
        </w:rPr>
        <w:t>תלמוד בבלי מסכת שבת דף קה עמוד ב</w:t>
      </w:r>
    </w:p>
    <w:p w14:paraId="249B9216" w14:textId="77777777" w:rsidR="00B31D99" w:rsidRDefault="00B31D99" w:rsidP="008164C0">
      <w:pPr>
        <w:pStyle w:val="NoSpacing"/>
        <w:bidi/>
        <w:ind w:left="26"/>
      </w:pPr>
      <w:r>
        <w:rPr>
          <w:rtl/>
        </w:rPr>
        <w:t>משנה. הקורע בחמתו, ועל מתו; וכל המקלקלין - פטורין. והמקלקל על מנת לתקן - שיעורו כמתקן. שיעור המלבן והמנפץ והצובע והטווה - כמלא רחב הסיט כפול והאורג שני חוטין - שיעורו כמלא הסיט</w:t>
      </w:r>
      <w:r>
        <w:t xml:space="preserve">. </w:t>
      </w:r>
    </w:p>
    <w:p w14:paraId="7F401334" w14:textId="77777777" w:rsidR="00B31D99" w:rsidRDefault="00B31D99" w:rsidP="008164C0">
      <w:pPr>
        <w:pStyle w:val="NoSpacing"/>
        <w:bidi/>
        <w:ind w:left="26"/>
      </w:pPr>
      <w:r>
        <w:rPr>
          <w:rtl/>
        </w:rPr>
        <w:t>גמרא. ורמינהו: הקורע בחמתו ובאבלו ועל מתו - חייב, ואף על פי שמחלל את השבת - יצא ידי קריעה! - לא קשיא, הא - במת דידיה, הא - במת דעלמא. - והא מתו קתני! - לעולם, במת דידיה, ובהנך דלאו בני אבילות נינהו. ואי חכם הוא - חיובי מיחייב, דתניא: חכם שמת - הכל קרוביו. הכל קרוביו סלקא דעתך? אלא אימא: הכל כקרוביו, הכל קורעין עליו, הכל חולצין עליו, הכל מברין עליו ברחבה! - לא צריכא, דלאו חכם הוא. ואי אדם כשר הוא - חיובי מיחייב, דתניא: מפני מה מתים בניו ובנותיו של אדם כשהן קטנים - כדי שיבכה ויתאבל על אדם כשר. כדי שיבכה, ערבונא שקלי מיניה? אלא: מפני שלא בכה והתאבל על אדם כשר. שכל הבוכה על אדם כשר - מוחלין לו על כל עונותיו, בשביל כבוד שעשה. - לא צריכא, דלאו אדם כשר הוא. ואי דקאי בשעת יציאת נשמה - חיובי מיחייב, דתניא, רבי שמעון בן אלעזר אומר: העומד על המת בשעת יציאת נשמה - חייב לקרוע, הא למה זה דומה - לספר תורה שנשרפה. - לא צריכא, דלא קאי בשעת יציאת נשמה</w:t>
      </w:r>
      <w:r>
        <w:t>.</w:t>
      </w:r>
    </w:p>
    <w:p w14:paraId="582DC174" w14:textId="77777777" w:rsidR="00B31D99" w:rsidRPr="009E3261" w:rsidRDefault="00B31D99" w:rsidP="008164C0">
      <w:pPr>
        <w:pStyle w:val="NoSpacing"/>
        <w:numPr>
          <w:ilvl w:val="0"/>
          <w:numId w:val="1"/>
        </w:numPr>
        <w:bidi/>
        <w:ind w:left="26"/>
        <w:rPr>
          <w:b/>
          <w:bCs/>
          <w:u w:val="single"/>
        </w:rPr>
      </w:pPr>
      <w:r w:rsidRPr="009E3261">
        <w:rPr>
          <w:b/>
          <w:bCs/>
          <w:u w:val="single"/>
          <w:rtl/>
        </w:rPr>
        <w:t>חידושי הר"ן מסכת שבת דף קה עמוד ב</w:t>
      </w:r>
    </w:p>
    <w:p w14:paraId="6E6359E0" w14:textId="77777777" w:rsidR="00B31D99" w:rsidRDefault="00B31D99" w:rsidP="008164C0">
      <w:pPr>
        <w:pStyle w:val="NoSpacing"/>
        <w:bidi/>
        <w:ind w:left="26"/>
      </w:pPr>
      <w:r>
        <w:rPr>
          <w:rtl/>
        </w:rPr>
        <w:t>ואם אדם חשוב הוא חיוב מחייב. אפשר לי לומר דלאו חייב בקריעה קאמר דאם איתא דבאדם כשר מחייב למה לי למתני בחכם הכל קורעין עליו אלא ה"ק אי אדם כשר הוא חיובי מחייב לבכות ולהתאבל וכיון שהוא חייב בכך אם הפריז על מדותיו וקרע אין זה מקלקל אלא זכות הוא לו או אפשר דבאדם כשר נמי חייב לקרוע וכי קתני הכל קורעין על גבי חכם משום חליצה והבראה נקטיה דאיתנהו בחכם ולא מחייב בכי האי גוונא באדם כשר</w:t>
      </w:r>
      <w:r>
        <w:t>:</w:t>
      </w:r>
    </w:p>
    <w:p w14:paraId="747BE54D" w14:textId="77777777" w:rsidR="00B31D99" w:rsidRPr="009E3261" w:rsidRDefault="00B31D99" w:rsidP="008164C0">
      <w:pPr>
        <w:pStyle w:val="NoSpacing"/>
        <w:numPr>
          <w:ilvl w:val="0"/>
          <w:numId w:val="1"/>
        </w:numPr>
        <w:bidi/>
        <w:ind w:left="26"/>
        <w:rPr>
          <w:b/>
          <w:bCs/>
          <w:u w:val="single"/>
        </w:rPr>
      </w:pPr>
      <w:r w:rsidRPr="009E3261">
        <w:rPr>
          <w:b/>
          <w:bCs/>
          <w:u w:val="single"/>
          <w:rtl/>
        </w:rPr>
        <w:t>רבי עקיבא איגר אורח חיים סימן רכג סעיף ב</w:t>
      </w:r>
    </w:p>
    <w:p w14:paraId="5018AFC9" w14:textId="39336C98" w:rsidR="008164C0" w:rsidRDefault="00B31D99" w:rsidP="008164C0">
      <w:pPr>
        <w:pStyle w:val="NoSpacing"/>
        <w:bidi/>
        <w:ind w:left="26"/>
      </w:pPr>
      <w:r>
        <w:rPr>
          <w:rtl/>
        </w:rPr>
        <w:t>[שו"ע] מברך ג"כ שהחיינו. ובהיפוך אם מת הבן והיה לו ממון והאב יורשו אין האב מברך שהחיינו כיון דהוי פורענות גמור שהאב יראה במיתת בנו כדאי' בפ' יש נוחלין כ"כ בס' לוית חן בפ' בא</w:t>
      </w:r>
      <w:r>
        <w:t>:</w:t>
      </w:r>
    </w:p>
    <w:p w14:paraId="04D9E5D4" w14:textId="77777777" w:rsidR="008164C0" w:rsidRDefault="008164C0">
      <w:r>
        <w:br w:type="page"/>
      </w:r>
    </w:p>
    <w:p w14:paraId="5E1C92C0" w14:textId="77777777" w:rsidR="00B31D99" w:rsidRPr="009E3261" w:rsidRDefault="00B31D99" w:rsidP="008164C0">
      <w:pPr>
        <w:pStyle w:val="NoSpacing"/>
        <w:numPr>
          <w:ilvl w:val="0"/>
          <w:numId w:val="1"/>
        </w:numPr>
        <w:bidi/>
        <w:ind w:left="26"/>
        <w:rPr>
          <w:b/>
          <w:bCs/>
          <w:u w:val="single"/>
        </w:rPr>
      </w:pPr>
      <w:r w:rsidRPr="009E3261">
        <w:rPr>
          <w:b/>
          <w:bCs/>
          <w:u w:val="single"/>
          <w:rtl/>
        </w:rPr>
        <w:lastRenderedPageBreak/>
        <w:t>פסקי תשובות אורח חיים סימן רכב</w:t>
      </w:r>
    </w:p>
    <w:p w14:paraId="0936BCB3" w14:textId="77777777" w:rsidR="00B31D99" w:rsidRDefault="00B31D99" w:rsidP="008164C0">
      <w:pPr>
        <w:pStyle w:val="NoSpacing"/>
        <w:bidi/>
        <w:ind w:left="26"/>
      </w:pPr>
      <w:r>
        <w:rPr>
          <w:rtl/>
        </w:rPr>
        <w:t>סעי' ב', שו"ע: על שמועות רעות מברך8 בא"ה אמ"ה דיין האמת. וצריך9 לברך תיכף בשעת השמיעה או הראיה, ואם לא בירך תיכף יכול לברך כל זמן שלא יצא הצער מלבו ולא הסיח דעת ממנו</w:t>
      </w:r>
      <w:r>
        <w:t>.</w:t>
      </w:r>
    </w:p>
    <w:p w14:paraId="3FC0A98D" w14:textId="77777777" w:rsidR="00B31D99" w:rsidRDefault="00B31D99" w:rsidP="008164C0">
      <w:pPr>
        <w:pStyle w:val="NoSpacing"/>
        <w:bidi/>
        <w:ind w:left="26"/>
      </w:pPr>
      <w:r>
        <w:rPr>
          <w:rtl/>
        </w:rPr>
        <w:t xml:space="preserve">וכבר כתבו </w:t>
      </w:r>
      <w:proofErr w:type="spellStart"/>
      <w:r>
        <w:rPr>
          <w:rtl/>
        </w:rPr>
        <w:t>הט"ז</w:t>
      </w:r>
      <w:proofErr w:type="spellEnd"/>
      <w:r>
        <w:rPr>
          <w:rtl/>
        </w:rPr>
        <w:t xml:space="preserve"> </w:t>
      </w:r>
      <w:proofErr w:type="spellStart"/>
      <w:r>
        <w:rPr>
          <w:rtl/>
        </w:rPr>
        <w:t>והמג"א</w:t>
      </w:r>
      <w:proofErr w:type="spellEnd"/>
      <w:r>
        <w:rPr>
          <w:rtl/>
        </w:rPr>
        <w:t xml:space="preserve"> ושאר האחרונים10 שעל מיתת אדם שהוא מצטער עליו נוהגים העולם לברך 'ברוך דיין האמת' בלא שם ומלכות, ורק על מיתת קרוביו שחייב להתאבל עליהם מברכין בשם ומלכות וכן במיתת11 תלמיד חכם חייב לברך בשם ומלכות</w:t>
      </w:r>
      <w:r>
        <w:t>.</w:t>
      </w:r>
    </w:p>
    <w:p w14:paraId="5D356741" w14:textId="77777777" w:rsidR="00B31D99" w:rsidRDefault="00B31D99" w:rsidP="008164C0">
      <w:pPr>
        <w:pStyle w:val="NoSpacing"/>
        <w:bidi/>
        <w:ind w:left="26"/>
      </w:pPr>
      <w:r>
        <w:rPr>
          <w:rtl/>
        </w:rPr>
        <w:t>וכאמור מעיקר הדין12 חייב לברך מיד עם הגיעה השמועה לאזניו, ואפילו13 בשבת, אך המנהג מקדמת דנא14 להמתין בברכה זו ולברכה בעת הלויה ובשעת הקריעה, אם כי אין קשר לברכה זו עם מצות הקריעה, והמברכה15 בעת השמועה לא הפסיד</w:t>
      </w:r>
      <w:r>
        <w:t>.</w:t>
      </w:r>
    </w:p>
    <w:p w14:paraId="64C70B11" w14:textId="77777777" w:rsidR="00B31D99" w:rsidRPr="009E3261" w:rsidRDefault="00B31D99" w:rsidP="008164C0">
      <w:pPr>
        <w:pStyle w:val="NoSpacing"/>
        <w:numPr>
          <w:ilvl w:val="0"/>
          <w:numId w:val="1"/>
        </w:numPr>
        <w:bidi/>
        <w:ind w:left="26"/>
        <w:rPr>
          <w:b/>
          <w:bCs/>
          <w:u w:val="single"/>
        </w:rPr>
      </w:pPr>
      <w:r w:rsidRPr="009E3261">
        <w:rPr>
          <w:b/>
          <w:bCs/>
          <w:u w:val="single"/>
          <w:rtl/>
        </w:rPr>
        <w:t>יחזקאל פרק יא</w:t>
      </w:r>
    </w:p>
    <w:p w14:paraId="43007EF1" w14:textId="77777777" w:rsidR="00B31D99" w:rsidRPr="00B31D99" w:rsidRDefault="00B31D99" w:rsidP="008164C0">
      <w:pPr>
        <w:pStyle w:val="NoSpacing"/>
        <w:bidi/>
        <w:ind w:left="26"/>
      </w:pPr>
      <w:r w:rsidRPr="00B31D99">
        <w:rPr>
          <w:rtl/>
        </w:rPr>
        <w:t>(יט) וְנָתַתִּ֤י לָהֶם֙ לֵ֣ב אֶחָ֔ד וְר֥וּחַ חֲדָשָׁ֖ה אֶתֵּ֣ן בְּקִרְבְּכֶ֑ם וַהֲסִ֨רֹתִ֜י לֵ֤ב הָאֶ֙בֶן֙ מִבְּשָׂרָ֔ם וְנָתַתִּ֥י לָהֶ֖ם לֵ֥ב בָּשָֽׂר</w:t>
      </w:r>
      <w:r w:rsidRPr="00B31D99">
        <w:t>:</w:t>
      </w:r>
    </w:p>
    <w:p w14:paraId="0512AF62" w14:textId="77777777" w:rsidR="00B31D99" w:rsidRDefault="00B31D99" w:rsidP="008164C0">
      <w:pPr>
        <w:pStyle w:val="NoSpacing"/>
        <w:bidi/>
        <w:ind w:left="26"/>
      </w:pPr>
      <w:r w:rsidRPr="00B31D99">
        <w:rPr>
          <w:rtl/>
        </w:rPr>
        <w:t>(כ) לְמַ֙עַן֙ בְּחֻקֹּתַ֣י יֵלֵ֔כוּ וְאֶת־מִשְׁפָּטַ֥י יִשְׁמְר֖וּ וְעָשׂ֣וּ אֹתָ֑ם וְהָיוּ־לִ֣י לְעָ֔ם וַאֲנִ֕י אֶהְיֶ֥ה לָהֶ֖ם לֵאלֹהִֽים</w:t>
      </w:r>
      <w:r w:rsidRPr="00B31D99">
        <w:t>:</w:t>
      </w:r>
    </w:p>
    <w:p w14:paraId="38DEEF2F" w14:textId="77777777" w:rsidR="00B31D99" w:rsidRPr="009E3261" w:rsidRDefault="00B31D99" w:rsidP="008164C0">
      <w:pPr>
        <w:pStyle w:val="NoSpacing"/>
        <w:numPr>
          <w:ilvl w:val="0"/>
          <w:numId w:val="1"/>
        </w:numPr>
        <w:bidi/>
        <w:ind w:left="26"/>
        <w:rPr>
          <w:b/>
          <w:bCs/>
          <w:u w:val="single"/>
        </w:rPr>
      </w:pPr>
      <w:r w:rsidRPr="009E3261">
        <w:rPr>
          <w:b/>
          <w:bCs/>
          <w:u w:val="single"/>
          <w:rtl/>
        </w:rPr>
        <w:t>יחזקאל פרק לו</w:t>
      </w:r>
    </w:p>
    <w:p w14:paraId="5B8ABAD6" w14:textId="77777777" w:rsidR="00B31D99" w:rsidRDefault="00B31D99" w:rsidP="008164C0">
      <w:pPr>
        <w:pStyle w:val="NoSpacing"/>
        <w:bidi/>
        <w:ind w:left="26"/>
      </w:pPr>
      <w:r>
        <w:rPr>
          <w:rtl/>
        </w:rPr>
        <w:t>(כו) וְנָתַתִּ֤י לָכֶם֙ לֵ֣ב חָדָ֔שׁ וְר֥וּחַ חֲדָשָׁ֖ה אֶתֵּ֣ן בְּקִרְבְּכֶ֑ם וַהֲסִ֨רֹתִ֜י אֶת־לֵ֤ב הָאֶ֙בֶן֙ מִבְּשַׂרְכֶ֔ם וְנָתַתִּ֥י לָכֶ֖ם לֵ֥ב בָּשָֽׂר</w:t>
      </w:r>
      <w:r>
        <w:t>:</w:t>
      </w:r>
    </w:p>
    <w:p w14:paraId="742E78A2" w14:textId="77777777" w:rsidR="00B31D99" w:rsidRDefault="00B31D99" w:rsidP="008164C0">
      <w:pPr>
        <w:pStyle w:val="NoSpacing"/>
        <w:bidi/>
        <w:ind w:left="26"/>
      </w:pPr>
      <w:r>
        <w:rPr>
          <w:rtl/>
        </w:rPr>
        <w:t>(כז) וְאֶת־רוּחִ֖י אֶתֵּ֣ן בְּקִרְבְּכֶ֑ם וְעָשִׂ֗יתִי אֵ֤ת אֲשֶׁר־בְּחֻקַּי֙ תֵּלֵ֔כוּ וּמִשְׁפָּטַ֥י תִּשְׁמְר֖וּ וַעֲשִׂיתֶֽם</w:t>
      </w:r>
      <w:r>
        <w:t>:</w:t>
      </w:r>
    </w:p>
    <w:p w14:paraId="35D6D756" w14:textId="77777777" w:rsidR="00B31D99" w:rsidRDefault="00B31D99" w:rsidP="008164C0">
      <w:pPr>
        <w:pStyle w:val="NoSpacing"/>
        <w:bidi/>
        <w:ind w:left="26"/>
      </w:pPr>
      <w:r>
        <w:rPr>
          <w:rtl/>
        </w:rPr>
        <w:t>(כח) וִישַׁבְתֶּ֣ם בָּאָ֔רֶץ אֲשֶׁ֥ר נָתַ֖תִּי לַאֲבֹֽתֵיכֶ֑ם וִהְיִ֤יתֶם לִי֙ לְעָ֔ם וְאָ֣נֹכִ֔י אֶהְיֶ֥ה לָכֶ֖ם לֵאלֹהִֽים</w:t>
      </w:r>
      <w:r>
        <w:t>:</w:t>
      </w:r>
    </w:p>
    <w:sectPr w:rsidR="00B31D99" w:rsidSect="008164C0">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BF3C5" w14:textId="77777777" w:rsidR="00B01B45" w:rsidRDefault="00B01B45" w:rsidP="008164C0">
      <w:pPr>
        <w:spacing w:after="0" w:line="240" w:lineRule="auto"/>
      </w:pPr>
      <w:r>
        <w:separator/>
      </w:r>
    </w:p>
  </w:endnote>
  <w:endnote w:type="continuationSeparator" w:id="0">
    <w:p w14:paraId="4B1DA93E" w14:textId="77777777" w:rsidR="00B01B45" w:rsidRDefault="00B01B45" w:rsidP="0081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67467" w14:textId="77777777" w:rsidR="00B01B45" w:rsidRDefault="00B01B45" w:rsidP="008164C0">
      <w:pPr>
        <w:spacing w:after="0" w:line="240" w:lineRule="auto"/>
      </w:pPr>
      <w:r>
        <w:separator/>
      </w:r>
    </w:p>
  </w:footnote>
  <w:footnote w:type="continuationSeparator" w:id="0">
    <w:p w14:paraId="6D820C60" w14:textId="77777777" w:rsidR="00B01B45" w:rsidRDefault="00B01B45" w:rsidP="00816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0213" w14:textId="0217202F" w:rsidR="008164C0" w:rsidRDefault="008164C0">
    <w:pPr>
      <w:pStyle w:val="Header"/>
    </w:pPr>
    <w:r>
      <w:rPr>
        <w:rFonts w:hint="cs"/>
        <w:rtl/>
      </w:rPr>
      <w:t xml:space="preserve"> פ' אחרי-קדושים תש"פ</w:t>
    </w:r>
    <w:r w:rsidRPr="008164C0">
      <w:rPr>
        <w:sz w:val="28"/>
        <w:szCs w:val="28"/>
      </w:rPr>
      <w:t>The Emotions Needed to Make a Bracha</w:t>
    </w:r>
    <w:r w:rsidRPr="008164C0">
      <w:rPr>
        <w:rFonts w:hint="cs"/>
        <w:sz w:val="28"/>
        <w:szCs w:val="28"/>
        <w:rtl/>
      </w:rPr>
      <w:t xml:space="preserve"> הלכות ברכות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A4F98"/>
    <w:multiLevelType w:val="hybridMultilevel"/>
    <w:tmpl w:val="B790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97"/>
    <w:rsid w:val="008164C0"/>
    <w:rsid w:val="009E0B97"/>
    <w:rsid w:val="009E3261"/>
    <w:rsid w:val="00B01B45"/>
    <w:rsid w:val="00B31D99"/>
    <w:rsid w:val="00D02A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88D66"/>
  <w15:chartTrackingRefBased/>
  <w15:docId w15:val="{1220C532-7685-412B-B099-07A4B9DE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261"/>
    <w:pPr>
      <w:spacing w:after="0" w:line="240" w:lineRule="auto"/>
    </w:pPr>
  </w:style>
  <w:style w:type="paragraph" w:styleId="Header">
    <w:name w:val="header"/>
    <w:basedOn w:val="Normal"/>
    <w:link w:val="HeaderChar"/>
    <w:uiPriority w:val="99"/>
    <w:unhideWhenUsed/>
    <w:rsid w:val="00816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C0"/>
  </w:style>
  <w:style w:type="paragraph" w:styleId="Footer">
    <w:name w:val="footer"/>
    <w:basedOn w:val="Normal"/>
    <w:link w:val="FooterChar"/>
    <w:uiPriority w:val="99"/>
    <w:unhideWhenUsed/>
    <w:rsid w:val="00816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Ophir Chernin</cp:lastModifiedBy>
  <cp:revision>2</cp:revision>
  <cp:lastPrinted>2020-04-25T20:58:00Z</cp:lastPrinted>
  <dcterms:created xsi:type="dcterms:W3CDTF">2020-04-25T20:02:00Z</dcterms:created>
  <dcterms:modified xsi:type="dcterms:W3CDTF">2020-04-25T20:58:00Z</dcterms:modified>
</cp:coreProperties>
</file>