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1E" w:rsidRPr="00B70AA2" w:rsidRDefault="00B70AA2" w:rsidP="00B70AA2">
      <w:pPr>
        <w:bidi/>
        <w:rPr>
          <w:rFonts w:cstheme="minorHAnsi"/>
          <w:b/>
          <w:bCs/>
          <w:sz w:val="28"/>
          <w:szCs w:val="28"/>
          <w:u w:val="single"/>
          <w:rtl/>
        </w:rPr>
      </w:pPr>
      <w:r w:rsidRPr="00B70AA2">
        <w:rPr>
          <w:rFonts w:cstheme="minorHAnsi"/>
          <w:b/>
          <w:bCs/>
          <w:sz w:val="28"/>
          <w:szCs w:val="28"/>
          <w:u w:val="single"/>
          <w:rtl/>
        </w:rPr>
        <w:t>והאיש משה – עמ' קסא (ר' משה הלוי סולובייצ'יק זצ"ל [</w:t>
      </w:r>
      <w:r w:rsidRPr="00B70AA2">
        <w:rPr>
          <w:rFonts w:cstheme="minorHAnsi"/>
          <w:b/>
          <w:bCs/>
          <w:sz w:val="28"/>
          <w:szCs w:val="28"/>
          <w:u w:val="single"/>
        </w:rPr>
        <w:t>Zurich, Switzerland</w:t>
      </w:r>
      <w:r w:rsidRPr="00B70AA2">
        <w:rPr>
          <w:rFonts w:cstheme="minorHAnsi"/>
          <w:b/>
          <w:bCs/>
          <w:sz w:val="28"/>
          <w:szCs w:val="28"/>
          <w:u w:val="single"/>
          <w:rtl/>
        </w:rPr>
        <w:t>])</w:t>
      </w:r>
    </w:p>
    <w:p w:rsidR="00B70AA2" w:rsidRPr="00B70AA2" w:rsidRDefault="00B70AA2" w:rsidP="00B70AA2">
      <w:pPr>
        <w:bidi/>
        <w:rPr>
          <w:rFonts w:hint="cs"/>
          <w:b/>
          <w:bCs/>
          <w:u w:val="single"/>
          <w:rtl/>
        </w:rPr>
      </w:pPr>
      <w:r>
        <w:rPr>
          <w:rFonts w:hint="cs"/>
          <w:b/>
          <w:bCs/>
          <w:noProof/>
          <w:u w:val="single"/>
        </w:rPr>
        <w:drawing>
          <wp:inline distT="0" distB="0" distL="0" distR="0">
            <wp:extent cx="4942936" cy="38700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44431" cy="3871205"/>
                    </a:xfrm>
                    <a:prstGeom prst="rect">
                      <a:avLst/>
                    </a:prstGeom>
                    <a:noFill/>
                    <a:ln w="9525">
                      <a:noFill/>
                      <a:miter lim="800000"/>
                      <a:headEnd/>
                      <a:tailEnd/>
                    </a:ln>
                  </pic:spPr>
                </pic:pic>
              </a:graphicData>
            </a:graphic>
          </wp:inline>
        </w:drawing>
      </w:r>
    </w:p>
    <w:p w:rsidR="00B70AA2" w:rsidRDefault="00B70AA2" w:rsidP="00B70AA2">
      <w:pPr>
        <w:bidi/>
        <w:rPr>
          <w:rFonts w:hint="cs"/>
          <w:rtl/>
        </w:rPr>
      </w:pPr>
    </w:p>
    <w:p w:rsidR="00B70AA2" w:rsidRPr="00B70AA2" w:rsidRDefault="00B70AA2" w:rsidP="00B70AA2">
      <w:pPr>
        <w:pStyle w:val="NoSpacing"/>
        <w:bidi/>
        <w:rPr>
          <w:rFonts w:cstheme="minorHAnsi"/>
          <w:b/>
          <w:bCs/>
          <w:sz w:val="28"/>
          <w:szCs w:val="28"/>
          <w:u w:val="single"/>
        </w:rPr>
      </w:pPr>
      <w:r w:rsidRPr="00B70AA2">
        <w:rPr>
          <w:rFonts w:cstheme="minorHAnsi"/>
          <w:b/>
          <w:bCs/>
          <w:sz w:val="28"/>
          <w:szCs w:val="28"/>
          <w:u w:val="single"/>
          <w:rtl/>
        </w:rPr>
        <w:t xml:space="preserve">רמב"ם - הלכות חנוכה – פרק ד, </w:t>
      </w:r>
      <w:r w:rsidRPr="00B70AA2">
        <w:rPr>
          <w:rFonts w:cstheme="minorHAnsi"/>
          <w:b/>
          <w:bCs/>
          <w:sz w:val="28"/>
          <w:szCs w:val="28"/>
          <w:u w:val="single"/>
          <w:rtl/>
        </w:rPr>
        <w:t>הלכה יב</w:t>
      </w:r>
    </w:p>
    <w:p w:rsidR="00B70AA2" w:rsidRDefault="00B70AA2" w:rsidP="00B70AA2">
      <w:pPr>
        <w:pStyle w:val="NoSpacing"/>
        <w:bidi/>
        <w:rPr>
          <w:rFonts w:cstheme="minorHAnsi" w:hint="cs"/>
          <w:sz w:val="28"/>
          <w:szCs w:val="28"/>
          <w:rtl/>
        </w:rPr>
      </w:pPr>
      <w:r w:rsidRPr="00B70AA2">
        <w:rPr>
          <w:rFonts w:cstheme="minorHAnsi"/>
          <w:sz w:val="28"/>
          <w:szCs w:val="28"/>
          <w:rtl/>
        </w:rPr>
        <w:t xml:space="preserve">מצות נר חנוכה מצוה </w:t>
      </w:r>
      <w:r w:rsidRPr="00B70AA2">
        <w:rPr>
          <w:rFonts w:cstheme="minorHAnsi"/>
          <w:b/>
          <w:bCs/>
          <w:sz w:val="28"/>
          <w:szCs w:val="28"/>
          <w:rtl/>
        </w:rPr>
        <w:t>חביבה היא עד מאד</w:t>
      </w:r>
      <w:r>
        <w:rPr>
          <w:rFonts w:cstheme="minorHAnsi" w:hint="cs"/>
          <w:sz w:val="28"/>
          <w:szCs w:val="28"/>
          <w:rtl/>
        </w:rPr>
        <w:t>,</w:t>
      </w:r>
      <w:r w:rsidRPr="00B70AA2">
        <w:rPr>
          <w:rFonts w:cstheme="minorHAnsi"/>
          <w:sz w:val="28"/>
          <w:szCs w:val="28"/>
          <w:rtl/>
        </w:rPr>
        <w:t xml:space="preserve"> וצריך אדם להזהר בה כדי להודיע הנס ולהוסיף בשבח האל והודיה לו על הנסים שעשה לנו, אפילו אין לו מה יאכל אלא מן הצדקה שואל או מוכר כסותו ולוקח שמן ונרות ומדליק.</w:t>
      </w:r>
    </w:p>
    <w:p w:rsidR="00B70AA2" w:rsidRDefault="00B70AA2" w:rsidP="00B70AA2">
      <w:pPr>
        <w:pStyle w:val="NoSpacing"/>
        <w:bidi/>
        <w:rPr>
          <w:rFonts w:cstheme="minorHAnsi" w:hint="cs"/>
          <w:sz w:val="28"/>
          <w:szCs w:val="28"/>
          <w:rtl/>
        </w:rPr>
      </w:pPr>
    </w:p>
    <w:p w:rsidR="00B70AA2" w:rsidRDefault="00B70AA2" w:rsidP="00B70AA2">
      <w:pPr>
        <w:pStyle w:val="NoSpacing"/>
        <w:bidi/>
        <w:rPr>
          <w:rFonts w:cstheme="minorHAnsi" w:hint="cs"/>
          <w:b/>
          <w:bCs/>
          <w:sz w:val="28"/>
          <w:szCs w:val="28"/>
          <w:u w:val="single"/>
          <w:rtl/>
        </w:rPr>
      </w:pPr>
      <w:r w:rsidRPr="00B70AA2">
        <w:rPr>
          <w:rFonts w:cstheme="minorHAnsi" w:hint="cs"/>
          <w:b/>
          <w:bCs/>
          <w:sz w:val="28"/>
          <w:szCs w:val="28"/>
          <w:u w:val="single"/>
          <w:rtl/>
        </w:rPr>
        <w:t xml:space="preserve">תוספות </w:t>
      </w:r>
      <w:r w:rsidRPr="00B70AA2">
        <w:rPr>
          <w:rFonts w:cstheme="minorHAnsi"/>
          <w:b/>
          <w:bCs/>
          <w:sz w:val="28"/>
          <w:szCs w:val="28"/>
          <w:u w:val="single"/>
          <w:rtl/>
        </w:rPr>
        <w:t>–</w:t>
      </w:r>
      <w:r w:rsidRPr="00B70AA2">
        <w:rPr>
          <w:rFonts w:cstheme="minorHAnsi" w:hint="cs"/>
          <w:b/>
          <w:bCs/>
          <w:sz w:val="28"/>
          <w:szCs w:val="28"/>
          <w:u w:val="single"/>
          <w:rtl/>
        </w:rPr>
        <w:t xml:space="preserve"> מסכת סוכה דף מו.</w:t>
      </w:r>
    </w:p>
    <w:p w:rsidR="00B70AA2" w:rsidRDefault="00B70AA2" w:rsidP="00B70AA2">
      <w:pPr>
        <w:pStyle w:val="NoSpacing"/>
        <w:bidi/>
        <w:rPr>
          <w:rFonts w:cs="Calibri" w:hint="cs"/>
          <w:sz w:val="28"/>
          <w:szCs w:val="28"/>
          <w:rtl/>
        </w:rPr>
      </w:pPr>
      <w:r w:rsidRPr="00B70AA2">
        <w:rPr>
          <w:rFonts w:cs="Calibri"/>
          <w:sz w:val="28"/>
          <w:szCs w:val="28"/>
          <w:rtl/>
        </w:rPr>
        <w:t xml:space="preserve">הרואה נר של חנוכה צריך לברך. בשאר מצות כגון אלולב וסוכה לא תקינו לברך לרואה אלא גבי נר חנוכה </w:t>
      </w:r>
      <w:r w:rsidRPr="00B70AA2">
        <w:rPr>
          <w:rFonts w:cs="Calibri"/>
          <w:b/>
          <w:bCs/>
          <w:sz w:val="28"/>
          <w:szCs w:val="28"/>
          <w:rtl/>
        </w:rPr>
        <w:t>משום חביבות הנס</w:t>
      </w:r>
      <w:r w:rsidRPr="00B70AA2">
        <w:rPr>
          <w:rFonts w:cs="Calibri"/>
          <w:sz w:val="28"/>
          <w:szCs w:val="28"/>
          <w:rtl/>
        </w:rPr>
        <w:t xml:space="preserve"> וגם משום שיש כמה בני אדם שאין להם בתים ואין בידם לקיים המצוה וטעם ראשון ניחא דלא תיקשי ליה מזוזה ועוד יש לפרש דאין שייך לתקן לרואה ברכה שאין העושה מברך:</w:t>
      </w:r>
    </w:p>
    <w:p w:rsidR="00B70AA2" w:rsidRDefault="00B70AA2" w:rsidP="00B70AA2">
      <w:pPr>
        <w:pStyle w:val="NoSpacing"/>
        <w:bidi/>
        <w:rPr>
          <w:rFonts w:cs="Calibri" w:hint="cs"/>
          <w:sz w:val="28"/>
          <w:szCs w:val="28"/>
          <w:rtl/>
        </w:rPr>
      </w:pPr>
    </w:p>
    <w:p w:rsidR="00B70AA2" w:rsidRPr="00B70AA2" w:rsidRDefault="00B70AA2" w:rsidP="00B70AA2">
      <w:pPr>
        <w:pStyle w:val="NoSpacing"/>
        <w:bidi/>
        <w:rPr>
          <w:rFonts w:cs="Calibri" w:hint="cs"/>
          <w:b/>
          <w:bCs/>
          <w:sz w:val="28"/>
          <w:szCs w:val="28"/>
          <w:u w:val="single"/>
          <w:rtl/>
        </w:rPr>
      </w:pPr>
      <w:r w:rsidRPr="00B70AA2">
        <w:rPr>
          <w:rFonts w:cs="Calibri" w:hint="cs"/>
          <w:b/>
          <w:bCs/>
          <w:sz w:val="28"/>
          <w:szCs w:val="28"/>
          <w:u w:val="single"/>
          <w:rtl/>
        </w:rPr>
        <w:t xml:space="preserve">בראשית </w:t>
      </w:r>
      <w:r w:rsidRPr="00B70AA2">
        <w:rPr>
          <w:rFonts w:cs="Calibri"/>
          <w:b/>
          <w:bCs/>
          <w:sz w:val="28"/>
          <w:szCs w:val="28"/>
          <w:u w:val="single"/>
          <w:rtl/>
        </w:rPr>
        <w:t>–</w:t>
      </w:r>
      <w:r w:rsidRPr="00B70AA2">
        <w:rPr>
          <w:rFonts w:cs="Calibri" w:hint="cs"/>
          <w:b/>
          <w:bCs/>
          <w:sz w:val="28"/>
          <w:szCs w:val="28"/>
          <w:u w:val="single"/>
          <w:rtl/>
        </w:rPr>
        <w:t xml:space="preserve"> פרק ג, פסוק ו</w:t>
      </w:r>
    </w:p>
    <w:p w:rsidR="00B70AA2" w:rsidRDefault="00B70AA2" w:rsidP="00B70AA2">
      <w:pPr>
        <w:pStyle w:val="NoSpacing"/>
        <w:bidi/>
        <w:rPr>
          <w:rFonts w:cs="Calibri" w:hint="cs"/>
          <w:sz w:val="28"/>
          <w:szCs w:val="28"/>
          <w:rtl/>
        </w:rPr>
      </w:pPr>
      <w:r w:rsidRPr="00B70AA2">
        <w:rPr>
          <w:rFonts w:cs="Calibri"/>
          <w:sz w:val="28"/>
          <w:szCs w:val="28"/>
          <w:rtl/>
        </w:rPr>
        <w:t>וַתֵּרֶא הָאִשָּׁה כִּי טוֹב הָעֵץ לְמַאֲכָל וְכִי תַאֲוָה הוּא לָעֵינַיִם וְנֶחְמָד הָעֵץ לְהַשְׂכִּיל וַתִּקַּח מִפִּרְיוֹ וַתֹּאכַל וַתִּתֵּן גַּם לְאִישָׁהּ עִמָּהּ וַיֹּאכַל.</w:t>
      </w:r>
    </w:p>
    <w:p w:rsidR="00B70AA2" w:rsidRDefault="00B70AA2" w:rsidP="00B70AA2">
      <w:pPr>
        <w:pStyle w:val="NoSpacing"/>
        <w:bidi/>
        <w:rPr>
          <w:rFonts w:cs="Calibri" w:hint="cs"/>
          <w:sz w:val="28"/>
          <w:szCs w:val="28"/>
          <w:rtl/>
        </w:rPr>
      </w:pPr>
    </w:p>
    <w:p w:rsidR="00B70AA2" w:rsidRDefault="00B70AA2" w:rsidP="00B70AA2">
      <w:pPr>
        <w:pStyle w:val="NoSpacing"/>
        <w:bidi/>
        <w:rPr>
          <w:rFonts w:cs="Calibri" w:hint="cs"/>
          <w:sz w:val="28"/>
          <w:szCs w:val="28"/>
          <w:rtl/>
        </w:rPr>
      </w:pPr>
    </w:p>
    <w:p w:rsidR="00B70AA2" w:rsidRDefault="00B70AA2" w:rsidP="00B70AA2">
      <w:pPr>
        <w:pStyle w:val="NoSpacing"/>
        <w:bidi/>
        <w:rPr>
          <w:rFonts w:cs="Calibri" w:hint="cs"/>
          <w:b/>
          <w:bCs/>
          <w:sz w:val="28"/>
          <w:szCs w:val="28"/>
          <w:u w:val="single"/>
          <w:rtl/>
        </w:rPr>
      </w:pPr>
      <w:r w:rsidRPr="00B70AA2">
        <w:rPr>
          <w:rFonts w:cs="Calibri" w:hint="cs"/>
          <w:b/>
          <w:bCs/>
          <w:sz w:val="28"/>
          <w:szCs w:val="28"/>
          <w:u w:val="single"/>
          <w:rtl/>
        </w:rPr>
        <w:lastRenderedPageBreak/>
        <w:t xml:space="preserve">פרשת נשא </w:t>
      </w:r>
    </w:p>
    <w:p w:rsidR="00B70AA2" w:rsidRDefault="00B70AA2" w:rsidP="00B70AA2">
      <w:pPr>
        <w:pStyle w:val="NoSpacing"/>
        <w:bidi/>
        <w:rPr>
          <w:rFonts w:cs="Calibri" w:hint="cs"/>
          <w:sz w:val="28"/>
          <w:szCs w:val="28"/>
          <w:rtl/>
        </w:rPr>
      </w:pPr>
      <w:r w:rsidRPr="00B70AA2">
        <w:rPr>
          <w:rFonts w:cs="Calibri"/>
          <w:sz w:val="28"/>
          <w:szCs w:val="28"/>
          <w:rtl/>
        </w:rPr>
        <w:t>קָרְבָּנוֹ קַעֲרַת כֶּסֶף אַחַת שְׁלֹשִׁים וּמֵאָה מִשְׁקָלָהּ מִזְרָק אֶחָד כֶּסֶף שִׁבְעִים שֶׁקֶל בְּשֶׁקֶל הַקֹּדֶשׁ שְׁנֵיהֶם מְלֵאִים סֹלֶת בְּלוּלָה בַשֶּׁמֶן לְמִנְחָה.</w:t>
      </w:r>
    </w:p>
    <w:p w:rsidR="00B70AA2" w:rsidRDefault="00B70AA2" w:rsidP="00B70AA2">
      <w:pPr>
        <w:pStyle w:val="NoSpacing"/>
        <w:bidi/>
        <w:rPr>
          <w:rFonts w:cs="Calibri" w:hint="cs"/>
          <w:sz w:val="28"/>
          <w:szCs w:val="28"/>
          <w:rtl/>
        </w:rPr>
      </w:pPr>
    </w:p>
    <w:p w:rsidR="00B70AA2" w:rsidRPr="00B70AA2" w:rsidRDefault="00B70AA2" w:rsidP="00B70AA2">
      <w:pPr>
        <w:pStyle w:val="NoSpacing"/>
        <w:bidi/>
        <w:rPr>
          <w:rFonts w:cs="Calibri" w:hint="cs"/>
          <w:b/>
          <w:bCs/>
          <w:sz w:val="28"/>
          <w:szCs w:val="28"/>
          <w:u w:val="single"/>
          <w:rtl/>
        </w:rPr>
      </w:pPr>
      <w:r w:rsidRPr="00B70AA2">
        <w:rPr>
          <w:rFonts w:cs="Calibri" w:hint="cs"/>
          <w:b/>
          <w:bCs/>
          <w:sz w:val="28"/>
          <w:szCs w:val="28"/>
          <w:u w:val="single"/>
          <w:rtl/>
        </w:rPr>
        <w:t xml:space="preserve">איכה </w:t>
      </w:r>
      <w:r w:rsidRPr="00B70AA2">
        <w:rPr>
          <w:rFonts w:cs="Calibri"/>
          <w:b/>
          <w:bCs/>
          <w:sz w:val="28"/>
          <w:szCs w:val="28"/>
          <w:u w:val="single"/>
          <w:rtl/>
        </w:rPr>
        <w:t>–</w:t>
      </w:r>
      <w:r w:rsidRPr="00B70AA2">
        <w:rPr>
          <w:rFonts w:cs="Calibri" w:hint="cs"/>
          <w:b/>
          <w:bCs/>
          <w:sz w:val="28"/>
          <w:szCs w:val="28"/>
          <w:u w:val="single"/>
          <w:rtl/>
        </w:rPr>
        <w:t xml:space="preserve"> פרק ה, פסוקים כא-כב</w:t>
      </w:r>
    </w:p>
    <w:p w:rsidR="00B70AA2" w:rsidRPr="00B70AA2" w:rsidRDefault="00B70AA2" w:rsidP="00B70AA2">
      <w:pPr>
        <w:pStyle w:val="NoSpacing"/>
        <w:bidi/>
        <w:rPr>
          <w:rFonts w:cs="Calibri"/>
          <w:sz w:val="28"/>
          <w:szCs w:val="28"/>
        </w:rPr>
      </w:pPr>
      <w:r w:rsidRPr="00B70AA2">
        <w:rPr>
          <w:rFonts w:cs="Calibri"/>
          <w:sz w:val="28"/>
          <w:szCs w:val="28"/>
          <w:rtl/>
        </w:rPr>
        <w:t xml:space="preserve">(כא) הֲשִׁיבֵנוּ </w:t>
      </w:r>
      <w:r>
        <w:rPr>
          <w:rFonts w:cs="Calibri" w:hint="cs"/>
          <w:sz w:val="28"/>
          <w:szCs w:val="28"/>
          <w:rtl/>
        </w:rPr>
        <w:t xml:space="preserve">ד' </w:t>
      </w:r>
      <w:r w:rsidRPr="00B70AA2">
        <w:rPr>
          <w:rFonts w:cs="Calibri"/>
          <w:sz w:val="28"/>
          <w:szCs w:val="28"/>
          <w:rtl/>
        </w:rPr>
        <w:t>אֵלֶיךָ ונשוב וְנָשׁוּבָה חַדֵּשׁ יָמֵינוּ כְּקֶדֶם:</w:t>
      </w:r>
    </w:p>
    <w:p w:rsidR="00B70AA2" w:rsidRDefault="00B70AA2" w:rsidP="00B70AA2">
      <w:pPr>
        <w:pStyle w:val="NoSpacing"/>
        <w:bidi/>
        <w:rPr>
          <w:rFonts w:cs="Calibri" w:hint="cs"/>
          <w:sz w:val="28"/>
          <w:szCs w:val="28"/>
          <w:rtl/>
        </w:rPr>
      </w:pPr>
      <w:r w:rsidRPr="00B70AA2">
        <w:rPr>
          <w:rFonts w:cs="Calibri"/>
          <w:sz w:val="28"/>
          <w:szCs w:val="28"/>
          <w:rtl/>
        </w:rPr>
        <w:t xml:space="preserve">(כב) כִּי אִם מָאֹס מְאַסְתָּנוּ קָצַפְתָּ עָלֵינוּ </w:t>
      </w:r>
      <w:r w:rsidRPr="00B70AA2">
        <w:rPr>
          <w:rFonts w:cs="Calibri"/>
          <w:b/>
          <w:bCs/>
          <w:sz w:val="28"/>
          <w:szCs w:val="28"/>
          <w:rtl/>
        </w:rPr>
        <w:t>עַד מְאֹד</w:t>
      </w:r>
      <w:r w:rsidRPr="00B70AA2">
        <w:rPr>
          <w:rFonts w:cs="Calibri"/>
          <w:sz w:val="28"/>
          <w:szCs w:val="28"/>
          <w:rtl/>
        </w:rPr>
        <w:t>:</w:t>
      </w:r>
    </w:p>
    <w:p w:rsidR="00B70AA2" w:rsidRDefault="00B70AA2" w:rsidP="00B70AA2">
      <w:pPr>
        <w:pStyle w:val="NoSpacing"/>
        <w:bidi/>
        <w:rPr>
          <w:rFonts w:cs="Calibri" w:hint="cs"/>
          <w:sz w:val="28"/>
          <w:szCs w:val="28"/>
          <w:rtl/>
        </w:rPr>
      </w:pPr>
    </w:p>
    <w:p w:rsidR="00B70AA2" w:rsidRPr="00B70AA2" w:rsidRDefault="00B70AA2" w:rsidP="00B70AA2">
      <w:pPr>
        <w:pStyle w:val="NoSpacing"/>
        <w:bidi/>
        <w:rPr>
          <w:rFonts w:cs="Calibri" w:hint="cs"/>
          <w:b/>
          <w:bCs/>
          <w:sz w:val="28"/>
          <w:szCs w:val="28"/>
          <w:u w:val="single"/>
          <w:rtl/>
        </w:rPr>
      </w:pPr>
      <w:r w:rsidRPr="00B70AA2">
        <w:rPr>
          <w:rFonts w:cs="Calibri" w:hint="cs"/>
          <w:b/>
          <w:bCs/>
          <w:sz w:val="28"/>
          <w:szCs w:val="28"/>
          <w:u w:val="single"/>
          <w:rtl/>
        </w:rPr>
        <w:t>ויקרא</w:t>
      </w:r>
      <w:r>
        <w:rPr>
          <w:rFonts w:cs="Calibri" w:hint="cs"/>
          <w:b/>
          <w:bCs/>
          <w:sz w:val="28"/>
          <w:szCs w:val="28"/>
          <w:u w:val="single"/>
          <w:rtl/>
        </w:rPr>
        <w:t xml:space="preserve"> (בחקותי) </w:t>
      </w:r>
      <w:r w:rsidRPr="00B70AA2">
        <w:rPr>
          <w:rFonts w:cs="Calibri" w:hint="cs"/>
          <w:b/>
          <w:bCs/>
          <w:sz w:val="28"/>
          <w:szCs w:val="28"/>
          <w:u w:val="single"/>
          <w:rtl/>
        </w:rPr>
        <w:t xml:space="preserve"> </w:t>
      </w:r>
      <w:r w:rsidRPr="00B70AA2">
        <w:rPr>
          <w:rFonts w:cs="Calibri"/>
          <w:b/>
          <w:bCs/>
          <w:sz w:val="28"/>
          <w:szCs w:val="28"/>
          <w:u w:val="single"/>
          <w:rtl/>
        </w:rPr>
        <w:t>–</w:t>
      </w:r>
      <w:r w:rsidRPr="00B70AA2">
        <w:rPr>
          <w:rFonts w:cs="Calibri" w:hint="cs"/>
          <w:b/>
          <w:bCs/>
          <w:sz w:val="28"/>
          <w:szCs w:val="28"/>
          <w:u w:val="single"/>
          <w:rtl/>
        </w:rPr>
        <w:t xml:space="preserve"> פרק כו, פסוק מד</w:t>
      </w:r>
    </w:p>
    <w:p w:rsidR="00B70AA2" w:rsidRDefault="00B70AA2" w:rsidP="00B70AA2">
      <w:pPr>
        <w:pStyle w:val="NoSpacing"/>
        <w:bidi/>
        <w:rPr>
          <w:rFonts w:cs="Calibri" w:hint="cs"/>
          <w:sz w:val="28"/>
          <w:szCs w:val="28"/>
          <w:rtl/>
        </w:rPr>
      </w:pPr>
      <w:r w:rsidRPr="00B70AA2">
        <w:rPr>
          <w:rFonts w:cs="Calibri"/>
          <w:sz w:val="28"/>
          <w:szCs w:val="28"/>
          <w:rtl/>
        </w:rPr>
        <w:t>וְאַף גַּם זֹאת בִּהְיוֹתָם בְּאֶרֶץ אֹיְבֵיהֶם לֹא מְאַסְתִּים וְלֹא גְעַלְתִּים לְכַלֹּתָם לְהָפֵר בְּרִיתִי</w:t>
      </w:r>
      <w:r>
        <w:rPr>
          <w:rFonts w:cs="Calibri"/>
          <w:sz w:val="28"/>
          <w:szCs w:val="28"/>
          <w:rtl/>
        </w:rPr>
        <w:t xml:space="preserve"> אִתָּם כִּי אֲנִי </w:t>
      </w:r>
      <w:r>
        <w:rPr>
          <w:rFonts w:cs="Calibri" w:hint="cs"/>
          <w:sz w:val="28"/>
          <w:szCs w:val="28"/>
          <w:rtl/>
        </w:rPr>
        <w:t>ד'</w:t>
      </w:r>
      <w:r>
        <w:rPr>
          <w:rFonts w:cs="Calibri"/>
          <w:sz w:val="28"/>
          <w:szCs w:val="28"/>
          <w:rtl/>
        </w:rPr>
        <w:t xml:space="preserve"> אֱלֹ</w:t>
      </w:r>
      <w:r>
        <w:rPr>
          <w:rFonts w:cs="Calibri" w:hint="cs"/>
          <w:sz w:val="28"/>
          <w:szCs w:val="28"/>
          <w:rtl/>
        </w:rPr>
        <w:t>ק</w:t>
      </w:r>
      <w:r w:rsidRPr="00B70AA2">
        <w:rPr>
          <w:rFonts w:cs="Calibri"/>
          <w:sz w:val="28"/>
          <w:szCs w:val="28"/>
          <w:rtl/>
        </w:rPr>
        <w:t>יהֶם.</w:t>
      </w:r>
    </w:p>
    <w:p w:rsidR="00B70AA2" w:rsidRDefault="00B70AA2" w:rsidP="00B70AA2">
      <w:pPr>
        <w:pStyle w:val="NoSpacing"/>
        <w:bidi/>
        <w:rPr>
          <w:rFonts w:cs="Calibri" w:hint="cs"/>
          <w:sz w:val="28"/>
          <w:szCs w:val="28"/>
          <w:rtl/>
        </w:rPr>
      </w:pPr>
    </w:p>
    <w:p w:rsidR="00B70AA2" w:rsidRDefault="00B70AA2" w:rsidP="00B70AA2">
      <w:pPr>
        <w:pStyle w:val="NoSpacing"/>
        <w:bidi/>
        <w:rPr>
          <w:rFonts w:cs="Calibri" w:hint="cs"/>
          <w:b/>
          <w:bCs/>
          <w:sz w:val="28"/>
          <w:szCs w:val="28"/>
          <w:u w:val="single"/>
          <w:rtl/>
        </w:rPr>
      </w:pPr>
      <w:r w:rsidRPr="00B70AA2">
        <w:rPr>
          <w:rFonts w:cs="Calibri" w:hint="cs"/>
          <w:b/>
          <w:bCs/>
          <w:sz w:val="28"/>
          <w:szCs w:val="28"/>
          <w:u w:val="single"/>
          <w:rtl/>
        </w:rPr>
        <w:t>מסכת מגילה דף יא.</w:t>
      </w:r>
    </w:p>
    <w:p w:rsidR="00B70AA2" w:rsidRPr="00B70AA2" w:rsidRDefault="00B70AA2" w:rsidP="00B70AA2">
      <w:pPr>
        <w:pStyle w:val="NoSpacing"/>
        <w:bidi/>
        <w:rPr>
          <w:rFonts w:cs="Calibri" w:hint="cs"/>
          <w:sz w:val="28"/>
          <w:szCs w:val="28"/>
          <w:rtl/>
        </w:rPr>
      </w:pPr>
      <w:r w:rsidRPr="00B70AA2">
        <w:rPr>
          <w:rFonts w:cs="Calibri"/>
          <w:sz w:val="28"/>
          <w:szCs w:val="28"/>
          <w:rtl/>
        </w:rPr>
        <w:t xml:space="preserve">ושמואל אמר </w:t>
      </w:r>
      <w:r>
        <w:rPr>
          <w:rFonts w:cs="Calibri" w:hint="cs"/>
          <w:sz w:val="28"/>
          <w:szCs w:val="28"/>
          <w:rtl/>
        </w:rPr>
        <w:t>"</w:t>
      </w:r>
      <w:r w:rsidRPr="00B70AA2">
        <w:rPr>
          <w:rFonts w:cs="Calibri"/>
          <w:sz w:val="28"/>
          <w:szCs w:val="28"/>
          <w:rtl/>
        </w:rPr>
        <w:t>לא מאסתים ולא געלתים לכלותם</w:t>
      </w:r>
      <w:r>
        <w:rPr>
          <w:rFonts w:cs="Calibri" w:hint="cs"/>
          <w:sz w:val="28"/>
          <w:szCs w:val="28"/>
          <w:rtl/>
        </w:rPr>
        <w:t>"</w:t>
      </w:r>
      <w:r w:rsidRPr="00B70AA2">
        <w:rPr>
          <w:rFonts w:cs="Calibri"/>
          <w:sz w:val="28"/>
          <w:szCs w:val="28"/>
          <w:rtl/>
        </w:rPr>
        <w:t xml:space="preserve"> </w:t>
      </w:r>
      <w:r w:rsidRPr="00B70AA2">
        <w:rPr>
          <w:rFonts w:cs="Calibri"/>
          <w:b/>
          <w:bCs/>
          <w:sz w:val="28"/>
          <w:szCs w:val="28"/>
          <w:rtl/>
        </w:rPr>
        <w:t>לא מאסתים בימי יוונים</w:t>
      </w:r>
      <w:r>
        <w:rPr>
          <w:rFonts w:cs="Calibri" w:hint="cs"/>
          <w:sz w:val="28"/>
          <w:szCs w:val="28"/>
          <w:rtl/>
        </w:rPr>
        <w:t>,</w:t>
      </w:r>
      <w:r w:rsidRPr="00B70AA2">
        <w:rPr>
          <w:rFonts w:cs="Calibri"/>
          <w:sz w:val="28"/>
          <w:szCs w:val="28"/>
          <w:rtl/>
        </w:rPr>
        <w:t xml:space="preserve"> ולא געלתים בימי נבוכדנצר</w:t>
      </w:r>
      <w:r>
        <w:rPr>
          <w:rFonts w:cs="Calibri" w:hint="cs"/>
          <w:sz w:val="28"/>
          <w:szCs w:val="28"/>
          <w:rtl/>
        </w:rPr>
        <w:t>,</w:t>
      </w:r>
      <w:r w:rsidRPr="00B70AA2">
        <w:rPr>
          <w:rFonts w:cs="Calibri"/>
          <w:sz w:val="28"/>
          <w:szCs w:val="28"/>
          <w:rtl/>
        </w:rPr>
        <w:t xml:space="preserve"> לכלותם בימי המן</w:t>
      </w:r>
      <w:r>
        <w:rPr>
          <w:rFonts w:cs="Calibri" w:hint="cs"/>
          <w:sz w:val="28"/>
          <w:szCs w:val="28"/>
          <w:rtl/>
        </w:rPr>
        <w:t>,</w:t>
      </w:r>
      <w:r w:rsidRPr="00B70AA2">
        <w:rPr>
          <w:rFonts w:cs="Calibri"/>
          <w:sz w:val="28"/>
          <w:szCs w:val="28"/>
          <w:rtl/>
        </w:rPr>
        <w:t xml:space="preserve"> להפר ברי</w:t>
      </w:r>
      <w:r>
        <w:rPr>
          <w:rFonts w:cs="Calibri"/>
          <w:sz w:val="28"/>
          <w:szCs w:val="28"/>
          <w:rtl/>
        </w:rPr>
        <w:t>תי אתם בימי פרסיים</w:t>
      </w:r>
      <w:r>
        <w:rPr>
          <w:rFonts w:cs="Calibri" w:hint="cs"/>
          <w:sz w:val="28"/>
          <w:szCs w:val="28"/>
          <w:rtl/>
        </w:rPr>
        <w:t>,</w:t>
      </w:r>
      <w:r>
        <w:rPr>
          <w:rFonts w:cs="Calibri"/>
          <w:sz w:val="28"/>
          <w:szCs w:val="28"/>
          <w:rtl/>
        </w:rPr>
        <w:t xml:space="preserve"> כי אני ה' אל</w:t>
      </w:r>
      <w:r>
        <w:rPr>
          <w:rFonts w:cs="Calibri" w:hint="cs"/>
          <w:sz w:val="28"/>
          <w:szCs w:val="28"/>
          <w:rtl/>
        </w:rPr>
        <w:t>ק</w:t>
      </w:r>
      <w:r w:rsidRPr="00B70AA2">
        <w:rPr>
          <w:rFonts w:cs="Calibri"/>
          <w:sz w:val="28"/>
          <w:szCs w:val="28"/>
          <w:rtl/>
        </w:rPr>
        <w:t>יהם בימי גוג ומגוג</w:t>
      </w:r>
    </w:p>
    <w:p w:rsidR="00B70AA2" w:rsidRDefault="00B70AA2" w:rsidP="00B70AA2">
      <w:pPr>
        <w:pStyle w:val="NoSpacing"/>
        <w:bidi/>
        <w:rPr>
          <w:rFonts w:cs="Calibri" w:hint="cs"/>
          <w:sz w:val="28"/>
          <w:szCs w:val="28"/>
          <w:rtl/>
        </w:rPr>
      </w:pPr>
    </w:p>
    <w:p w:rsidR="00B70AA2" w:rsidRPr="00B70AA2" w:rsidRDefault="00B70AA2" w:rsidP="00B70AA2">
      <w:pPr>
        <w:pStyle w:val="NoSpacing"/>
        <w:bidi/>
        <w:rPr>
          <w:rFonts w:cstheme="minorHAnsi"/>
          <w:sz w:val="28"/>
          <w:szCs w:val="28"/>
          <w:rtl/>
        </w:rPr>
      </w:pPr>
    </w:p>
    <w:sectPr w:rsidR="00B70AA2" w:rsidRPr="00B70AA2" w:rsidSect="0038091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3D" w:rsidRDefault="0012493D" w:rsidP="00B70AA2">
      <w:pPr>
        <w:spacing w:after="0" w:line="240" w:lineRule="auto"/>
      </w:pPr>
      <w:r>
        <w:separator/>
      </w:r>
    </w:p>
  </w:endnote>
  <w:endnote w:type="continuationSeparator" w:id="0">
    <w:p w:rsidR="0012493D" w:rsidRDefault="0012493D" w:rsidP="00B70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3D" w:rsidRDefault="0012493D" w:rsidP="00B70AA2">
      <w:pPr>
        <w:spacing w:after="0" w:line="240" w:lineRule="auto"/>
      </w:pPr>
      <w:r>
        <w:separator/>
      </w:r>
    </w:p>
  </w:footnote>
  <w:footnote w:type="continuationSeparator" w:id="0">
    <w:p w:rsidR="0012493D" w:rsidRDefault="0012493D" w:rsidP="00B70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A2" w:rsidRPr="00B70AA2" w:rsidRDefault="00B70AA2" w:rsidP="00B70AA2">
    <w:pPr>
      <w:pStyle w:val="Header"/>
      <w:bidi/>
      <w:rPr>
        <w:rFonts w:cstheme="minorHAnsi"/>
        <w:b/>
        <w:bCs/>
        <w:sz w:val="28"/>
        <w:szCs w:val="28"/>
        <w:rtl/>
      </w:rPr>
    </w:pPr>
    <w:r w:rsidRPr="00B70AA2">
      <w:rPr>
        <w:rFonts w:cstheme="minorHAnsi"/>
        <w:b/>
        <w:bCs/>
        <w:sz w:val="28"/>
        <w:szCs w:val="28"/>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70AA2"/>
    <w:rsid w:val="0012493D"/>
    <w:rsid w:val="00205D53"/>
    <w:rsid w:val="0038091E"/>
    <w:rsid w:val="00B70AA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0A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AA2"/>
  </w:style>
  <w:style w:type="paragraph" w:styleId="Footer">
    <w:name w:val="footer"/>
    <w:basedOn w:val="Normal"/>
    <w:link w:val="FooterChar"/>
    <w:uiPriority w:val="99"/>
    <w:semiHidden/>
    <w:unhideWhenUsed/>
    <w:rsid w:val="00B70A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AA2"/>
  </w:style>
  <w:style w:type="paragraph" w:styleId="BalloonText">
    <w:name w:val="Balloon Text"/>
    <w:basedOn w:val="Normal"/>
    <w:link w:val="BalloonTextChar"/>
    <w:uiPriority w:val="99"/>
    <w:semiHidden/>
    <w:unhideWhenUsed/>
    <w:rsid w:val="00B70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A2"/>
    <w:rPr>
      <w:rFonts w:ascii="Tahoma" w:hAnsi="Tahoma" w:cs="Tahoma"/>
      <w:sz w:val="16"/>
      <w:szCs w:val="16"/>
    </w:rPr>
  </w:style>
  <w:style w:type="paragraph" w:styleId="NoSpacing">
    <w:name w:val="No Spacing"/>
    <w:uiPriority w:val="1"/>
    <w:qFormat/>
    <w:rsid w:val="00B70AA2"/>
    <w:pPr>
      <w:spacing w:after="0" w:line="240" w:lineRule="auto"/>
    </w:pPr>
  </w:style>
</w:styles>
</file>

<file path=word/webSettings.xml><?xml version="1.0" encoding="utf-8"?>
<w:webSettings xmlns:r="http://schemas.openxmlformats.org/officeDocument/2006/relationships" xmlns:w="http://schemas.openxmlformats.org/wordprocessingml/2006/main">
  <w:divs>
    <w:div w:id="398290279">
      <w:bodyDiv w:val="1"/>
      <w:marLeft w:val="0"/>
      <w:marRight w:val="0"/>
      <w:marTop w:val="0"/>
      <w:marBottom w:val="0"/>
      <w:divBdr>
        <w:top w:val="none" w:sz="0" w:space="0" w:color="auto"/>
        <w:left w:val="none" w:sz="0" w:space="0" w:color="auto"/>
        <w:bottom w:val="none" w:sz="0" w:space="0" w:color="auto"/>
        <w:right w:val="none" w:sz="0" w:space="0" w:color="auto"/>
      </w:divBdr>
      <w:divsChild>
        <w:div w:id="591472356">
          <w:marLeft w:val="0"/>
          <w:marRight w:val="-41"/>
          <w:marTop w:val="0"/>
          <w:marBottom w:val="0"/>
          <w:divBdr>
            <w:top w:val="none" w:sz="0" w:space="0" w:color="auto"/>
            <w:left w:val="none" w:sz="0" w:space="0" w:color="auto"/>
            <w:bottom w:val="none" w:sz="0" w:space="0" w:color="auto"/>
            <w:right w:val="none" w:sz="0" w:space="0" w:color="auto"/>
          </w:divBdr>
        </w:div>
        <w:div w:id="146630598">
          <w:marLeft w:val="0"/>
          <w:marRight w:val="-41"/>
          <w:marTop w:val="0"/>
          <w:marBottom w:val="0"/>
          <w:divBdr>
            <w:top w:val="none" w:sz="0" w:space="0" w:color="auto"/>
            <w:left w:val="none" w:sz="0" w:space="0" w:color="auto"/>
            <w:bottom w:val="none" w:sz="0" w:space="0" w:color="auto"/>
            <w:right w:val="none" w:sz="0" w:space="0" w:color="auto"/>
          </w:divBdr>
        </w:div>
        <w:div w:id="1217400763">
          <w:marLeft w:val="0"/>
          <w:marRight w:val="-4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cp:lastPrinted>2017-12-20T14:04:00Z</cp:lastPrinted>
  <dcterms:created xsi:type="dcterms:W3CDTF">2017-12-20T13:44:00Z</dcterms:created>
  <dcterms:modified xsi:type="dcterms:W3CDTF">2017-12-21T01:06:00Z</dcterms:modified>
</cp:coreProperties>
</file>