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שיטת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פירוש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והנלוים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הנוצרית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ואידיהן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 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הנוצרים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אידיהם</w:t>
      </w:r>
      <w:r w:rsidDel="00000000" w:rsidR="00000000" w:rsidRPr="00000000">
        <w:rPr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מאכלות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ומייחדין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הישמעאלים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בהנייה</w:t>
      </w:r>
      <w:r w:rsidDel="00000000" w:rsidR="00000000" w:rsidRPr="00000000">
        <w:rPr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להנהיג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ולפארם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ולשבחם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ולפארם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ולהשתחוות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ייראך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ויכסלו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וכסילותם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והקריבו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שהודיעוהו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בנבואתו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ומתקבצין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ומשתחוים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וכהניהם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כוזבים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ולהשתחוות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שנתחנכו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מקטנותם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ולדמותן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אבינו</w:t>
      </w:r>
      <w:r w:rsidDel="00000000" w:rsidR="00000000" w:rsidRPr="00000000">
        <w:rPr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שיטת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המאירי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הבחירה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למאירי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תקרובתא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ולהודאתם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כפרקמטיא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ליארוד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כיארוד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וצורותיהם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וצלמיהם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בזמנים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לגמרי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שאמרו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בגמ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נצרי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מפרשו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נוצרים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מארץ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מרחק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האמור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בירמיה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נוצרים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נבוכד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נצר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וידוע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שצלם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השמש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נבוכדנצר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עובדים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שהחמה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משמשת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נצרי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קבוע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לנבוכד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נצר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ממשלת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והדברים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וברורים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הבחירה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למאירי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חסרנו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והתעלסות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מתאהבים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והתדבקות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ותשוקתו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לאחדותו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שמשתבשין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הבחירה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למאירי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1"/>
        </w:rPr>
        <w:t xml:space="preserve">המינין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והאפיקורסים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וזיקתם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שיטת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התוס</w:t>
      </w:r>
      <w:r w:rsidDel="00000000" w:rsidR="00000000" w:rsidRPr="00000000">
        <w:rPr>
          <w:b w:val="1"/>
          <w:rtl w:val="1"/>
        </w:rPr>
        <w:t xml:space="preserve">'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מסייעא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פיך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שמשתפין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הוזהרו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Translation of Tosafot Provided by Dr. David Berger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permissible to accept an oath from a Gentile because] in these days they all swear in the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their saints, to whom they do not attribute Divinity. And even though they mention the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heaven along with them and their intention is to something else [R. Yeruham: “to Jesus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Nazareth”], this is still not [R. Yeruham: “still, they do not mention”] the name of idolatry;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moreover, their intention is to the Creator of heaven [R. Yeruham adds: and earth]. And even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 they associate the name of heaven with something else, we do not find that it is forbidden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cause someone else to associate, and the prohibition of not causing a blind man to stumble [i.e.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causing someone to sin] is not applicable, for Noahides were not commanded regarding this</w:t>
      </w:r>
    </w:p>
    <w:p w:rsidR="00000000" w:rsidDel="00000000" w:rsidP="00000000" w:rsidRDefault="00000000" w:rsidRPr="00000000">
      <w:pPr>
        <w:bidi w:val="1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[R. Yeruham: “regarding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הריטב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דמשחרר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בכורות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שותפות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כוכבים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הזרוע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קלג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המשתתף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דשמואל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 </w:t>
      </w:r>
      <w:r w:rsidDel="00000000" w:rsidR="00000000" w:rsidRPr="00000000">
        <w:rPr>
          <w:u w:val="single"/>
          <w:rtl w:val="1"/>
        </w:rPr>
        <w:t xml:space="preserve">שמא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יתחייב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כוכבים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דמגילה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סעודות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שמזכירין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וכוונתם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הוזהרו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קנו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בעשיית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שותפות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הכותים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הכותים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נשבעים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דמזכירין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כוונתם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שמשתפים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מכשול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מוזהרין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דבכורות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ולשאת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שותפות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חגיהם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פתחי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קמז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בהגהה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בשותפות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נשבעין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משתפים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מוזהרים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להוכיח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דמרגלא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בפומייהו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דאינשי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שמשתף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בשבועה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שמזכירו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בשבועתו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תשבעו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מוזהרים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חילוק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דמדבריו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להיפך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ישעיה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בערלין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מברעסלא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מוזהר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באריכות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הפלפול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דמקילין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שכוונתם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שמשתפים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מוזהרין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כניסה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ז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לפקח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בעסקיו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דחשדי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למיפלח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לחשדה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דצחי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אבזרי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שיהרג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רגילין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שדרכן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צרכיהם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קפנדריא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קפנדריא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דקלון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צלמניא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אבוריא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קמט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בעונותינו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ונתקיים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ועבדתם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פיקוח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דבסכנת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כהולך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ומביאו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קכט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לכנסית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לכנסית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תפלותיהם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הסתכלות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אבידן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ויכוח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ונידון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תפלותיהם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ועבודותיהן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מחשבות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שהאליל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עבודותיהם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והנידון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החשד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כאנדרטא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שבמטבעות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ותמונות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פיקצ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שבבתים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הנמצאים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נעבדו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השחתה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באמונה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ובדעות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רצון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להסית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ולהדיח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בהתקרבות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רצונם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ולהתקרב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ציץ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לחצרותיהם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וולדינברג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והברכה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בשאלות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אקטואליות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המטרידות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החלטתי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להפנות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בתקוה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לקבלת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בטיול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אומנותי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התרשמות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מהאומנות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הבדל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להשקיף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עסוק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וטרוד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ובקרוב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מתחילה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הטיולים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ושאלות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בטוחני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החשיבות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שבמתן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בהקדם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אאחל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אריכות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ושיזכה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לתועלת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ובתקוה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בהקדם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וברכה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שאלותיו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הנוגעות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למבוקשו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וכדלקמן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לזולתה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בעונותינו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הקדושים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כביעתא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בכותחא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וזכורני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קטנותי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מובהקת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המבוגרים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=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תשקצנו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שיצטרכו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מעתיק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בפשיטות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בפיהמ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ובנוגע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דדינו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מתקבצים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לתרפותן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מתקבצים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לתרפותן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בפיהמ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כתחליף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ויעוין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להשקיף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בקיאים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אוסיף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לצטט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פלאג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הכניסה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הרחיב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ובסופם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הוסיף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יקחך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טפילתם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דמקטרין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תינח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פלגא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כשהנכנס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דהחיצונים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ושכלי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טבילה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ומלקות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מלבושים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שנכנסו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דתיהוי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כפרה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ויעוין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ויעוין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בנוגע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הכניסה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הקדמונים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יעוין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הבדל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יעוין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להוכיח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=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שמצווה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ולמדנו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שהקדשים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כותים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המשוגע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ומשתחוים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השתחואה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משתחוים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למתים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למדנו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והשתחויתם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לנביא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לקדשיהם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מבצעים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וברוך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אלקינו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שהבדילנו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התועים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בברכה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ובהוקרה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וולדינברג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יביע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נשאלתי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שגריר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השלטונות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לטקס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השכבה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בכניסיה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החשובים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כלפיו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בעונותינו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בחידושיו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רגילים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אביזרא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מארבעים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שמבואר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הובאו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שבילי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הליכה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איסורא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בארעא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תלמידי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פשיטא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שתרוג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וששאלת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היריד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שהוזמנו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הכניסיה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להוראת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ונכנסו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הקהל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להרחיק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המוכרחים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ולנודעים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ויגלו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כניסתם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לכניסיה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כמשתחוים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אביזרא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נקבצים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וכשהיה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תובעו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נתחרט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תתענה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וכשיצא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ונתענה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שסמך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ולהלוותם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הוסיף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שסתם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למגעם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פלאג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הקונסול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ונכנסו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להוכיח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יקחך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לפורענות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ומקטרים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וסטרא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חילוק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לזמנינו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שנועדו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יחדיו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מאביזרא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כשמתאספים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מנשוא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לצרפו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ויקבל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לכסלה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ישכיל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הבחירות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לכניסיה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לסטרא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השראת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הסטרא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ויפגל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ונפשו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מישרים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בחקותי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הבחירות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לעיריה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למדינה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שנתונה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לכניסיה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להצביע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פיינשטיין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ציץ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קדמתיו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החסיד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בזכרונות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שהתירו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שיעליל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דממונא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חוששים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באיסורים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כפונדקית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שהמסגדים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בתוכם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שהואיל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ומשתחוים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לפניהם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אניס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החסיד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הפרד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משיחין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באמונתם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במוחמד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שמכחיש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מזרחי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שנעשית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בכחא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דהיתרא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דשאני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שנעשית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באקראי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הקבוע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הרגיעה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וקבעה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קביעות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יקותיאל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הלברשטם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מקלויזנבורג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בחוברת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ונסתייע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זכרונו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דחשיבי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ואשתמיטתיה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במראית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מירושלים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ישמעאלי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והבאנו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גאונים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וצדיקים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מתפללים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המכפלה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תושבי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ארבע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ציץ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להשוות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לכניסיה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ובמחכ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הסליחה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תופסים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וממילא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למסגדיהם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מצאתי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אלחנן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שנשאל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אנשי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שבקשו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לתת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המסגד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והשיב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שהואיל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ומבואר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הגאונים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בפשיטות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טרטיאות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שבאותם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מקומות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ללמוד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במסגדים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וללמוד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חוקות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העובדי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קעח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בחוקות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ילבש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מלבוש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המיוחד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&lt;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יגדל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ציצת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ציצת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מהצדדין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ויניח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מאוזן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לאוזן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&lt;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ויניח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&lt;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שיכנסו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מובדל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במלבושיו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פריצות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ללבוש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מלבושים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אדומים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מלבוש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ממלבושי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הפריצות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ולחוק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למיחש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מאבותיהם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לתועלת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שדרכן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מומחה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מלבוש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ללובשו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&lt;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שורפין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למלכות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ללבוש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במלבושיהם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ולדמות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&lt;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קעח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דמדאורייתא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ומילקי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לקרובי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קרובים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לבטל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הגזירות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וכדאשכחן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אצטרובלי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בפירקא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דחסידי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ומגדלי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בלורית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גייסות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לבעותי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האויבים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סתמה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ובחוקותיהם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ומסרה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לקרובים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דובחוקותיהם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בקרובי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מורידים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קורבתם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למלכות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כניסה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לחדר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ז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והנהגות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תי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נשאלתי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להצביע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לבחירות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יוהנסבורג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ולכאורה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שמציין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וועידות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וכינוסים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נכנסים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שנכנסים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לטומאה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לכתחילה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כשחופף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לטומאה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דידן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בבחירות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שהבנתי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וביסוד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נכנסים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לטומאתם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שלכתחילה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וועידות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ניחא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וניכר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הבחירות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לבחירות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השלטונות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ולהסביר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נכנסים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דידן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נט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בהיותי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בטיול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הגענו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ונחלקו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הכניסה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להערתך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בכניסה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למוזיאון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פולחן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לעצמי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שהאבחנה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לפולחן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הלכתית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ביסודה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שציינת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במכתבך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בכונתם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מרחץ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אפרודיטי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במוזיאונים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להניח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שנמצאים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נועדו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ומותרת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הכניסה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פולחן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לפולחן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תיפלתם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להועיל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קמח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המתירין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חילוק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שיצטרכו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והגהת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הורוביץ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פפד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הזכרת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האיש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יאיר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שגיונותיו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ושגעונו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רציתי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להעתיקו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ותמצית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דוכתי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שמאמינים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יתברך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נכללו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להתלונן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וזכרתי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המשובש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ומוטעה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מחזיקים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וחירוף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שקורין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להניחם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נזהרים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מלהזכיר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בלשונם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וגמגום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מסקינן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בשמייהו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שנעשית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לאיזה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עשאוהו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בגבולי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כוכבי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מונע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מלהזכיר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סטורני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ויוב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צדק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ולוציפור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נוגה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מחזיקי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קצתם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שמתחננים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ומתפללים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עשאוה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מליץ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אלוה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המלומד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וואגי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זאליר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נוטרייקון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יעויין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נסכו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ומזלות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הדיוטו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דכתיבא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באגב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מלקרות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ששמם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בעצמה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המתחסדים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המטילים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ותחרות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בתפילות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ימצאו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להטיל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למנוע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הארכנו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שהזכרנו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המכחישים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נעבדנו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גמגום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עזריאל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הילדסהיימר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קפ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בורגפרעפפאך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מדרשינו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השמועה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בלימוד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באקראי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בקריאת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לעזעבוך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לדלגו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שנמצאים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באקראי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יקראנו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מתחלל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הלימוד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רחוקות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במניעת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יורני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כתלמיד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תזכירו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לחבירו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שידרו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ויקיימו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אזהרה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למסית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דהזכרה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ומכש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ובסמוך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מסקינן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לדקדק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ממתניתין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לפרוקלוס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בגבולה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בגבולי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מרחץ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לאפרודיטי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דהזכיר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עידיהן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קלנדא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וסטרנורה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הוזכרה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בהגהת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בדפוס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קושטא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העתיקו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בקיצור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הדיוטות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שעשאוהו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ואדנות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וטעמא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תזכירו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הקפיד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ותלמידיו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וקציעה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והנדבקים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משיחים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וגדולה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שפירש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ישעיהו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למשיחו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ובמקצת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שחשבו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וגדולה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ליודעי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שנזהר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מלהזכירו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'].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דויטש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תשובה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קדמוהו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בקושיא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בסוגין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ולבסוף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ויעויין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לפרוקלוס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כפשוטו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לגבולו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שהמרחץ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כשסידר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קושיא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שפתיו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דייקא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בבהמ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התחלת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קושיא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להזהר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וכדאיתא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בסוגיא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דדמות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דלהתלמד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הפרטי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המורגל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העתקת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משיח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קראתי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המקילים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ומחמירים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הפרטי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מורגל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נהפוך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נתעורר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לחילוק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בדפוס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ולברר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להתלמד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לדיבור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מתושבי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נזהרו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להשמיע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נביאים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חילוק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שחשבו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לאלקות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וישמעאלים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הגדילו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מחוקק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אמונתם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הועתק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דנוהגים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כהגהת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מוזהר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ובפמ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שלפנינו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להכחיש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תפוצות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שיהיבנא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היראים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נמנעו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להעלות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שפתם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גמור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נוהגים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רשאי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בפניהם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חילוק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פרנסתו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מניעת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שבממון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ההכרח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ולהלוות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הילדים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למיסרך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לשמוע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לרגש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מאמינים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מאמינים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שממאסים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מניעת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להוכיח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התחייבות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דפשיטא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חילול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פערלעגענהייט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מובטחני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התנגדיות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הקטנה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אשכנזי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הקטנה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מהתנגדות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לרגש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הנפרץ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תפוצות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ופשיטא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ממכילתא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תזכירו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שהעתיק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ממחדשי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נזהרים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היראים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ע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&lt;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הנמצאים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&lt;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דסתמא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והנמצאים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בכרכים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עומדין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צפור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וטבעת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שמשתחוים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לזכרון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יחוה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שקיבל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מהמלכות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מדליית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להשהותה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וליהנות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שהצלב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בגדיהם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לזכרון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לאוסרו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/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שמשתחוים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ואסורה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ביטול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שתולין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בצואר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לזכרון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נקראת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ומותרת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שניתנת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שעשויה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ומותרת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השפתי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שנתלית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בצואר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כשידוע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השתחוו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השתחוו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לחומרא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מסקאלא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מיורה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פשט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שסתם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שנתלית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בצואר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עשויה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לזכרון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ומותרת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השתחוו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הסביר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והוכחותיו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שבמדליית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שנעשית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להשתחוות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בפשיטות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בחידושיו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שרגילים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נעבדת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במטבעות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הסכימו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שהצורה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נעבדת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עשייתה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לצרף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שצידד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מסתמא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איסמעיל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והובאו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שמנהגם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העשוי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ויהלומים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שיסמוכו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ובנידון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תפארת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אסאד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טהור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שנתלית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להזהירם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לבטלה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נוהגים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נישוק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ופילול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אכילתם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וקודם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שינתם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נתנזון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שקיבל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הוקרה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לעונדה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שבנידון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ולמזכרת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השתחוו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שענידת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מכבודו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שסיים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פלאג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השתחוו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עשייתה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ישאנה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להתכבד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והסתמך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בנידונו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שלחתי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לשלשה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מגדולי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אירופא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והשיבו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אצלם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צוארם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מגדולי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דורינו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לארמון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ובצאתו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יסירנה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שנעשית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ולזכרון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שנעשית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מצויינים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נסתפק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שהמוצא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ולבנה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להשהותן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בשהייתן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ישחית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מוכרחים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לחשד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נעבדה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רפאל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אשכנזי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איטליה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והסתמך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שואלין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ודורשין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ומפורסם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מדליית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עונדה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ולתפארת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הנציב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הצטלם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שהסתמך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צד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להסתלק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יפסיקוהו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יסתלק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במלון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יבלבלוהו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להסתלק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יפסיקוהו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במלון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'/).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צד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יבלבלוהו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לגילולים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גילולים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להועיל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נד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גילולים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למנוע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סט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לסחור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שמצויר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שמסחרו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למכור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האוהבים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שמצויירים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לסחור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המטבעות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ודיוקני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דזוזא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דאחריני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מסתכלי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הסטעפס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המטבע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הסתכלות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במטבע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שרגיל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כוונתם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הורגל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הורגלו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המטבע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במטבע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אצלו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מטבעות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דמחמת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לעובדה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בהסתכלות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שההסתכלות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המטבע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לדבקם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במכתבים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במטבעות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בהסתכלות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הרחקה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הכיעור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במטבעות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בהמסחר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ובהחזקתם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בסטעמפס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שמבזין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דמלכלכין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בהפאצט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שרושמין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לפוסלו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מלהדביקו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שמשליכין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באשפות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שנוטלין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המכתבים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במרחץ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אפרודיטי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באיסור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מע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ז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עג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המופלג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ששאלת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ששמעת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בדפוס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בקונטרס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עפימש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דבהפ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שבזמה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בגבולה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מרחץ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לאפרדוטי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ואדרבא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נבהלתי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כעוכלי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לנסך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בקיאין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אבותיהם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מנסכים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שמצאו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דאמונת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וצלמיהם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נרגא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למסור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נפשו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בזמה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ישתקעו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יעלו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והציקתנו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רוחי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נמשך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הכותבים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רגילים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לפעמים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מנסכים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הנוכרים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בזמנינו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בהל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מאכלות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אסורות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ווינעציא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תדרשנו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לכפול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בתרומת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לכאורה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מפירשב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זקנו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שבימינו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בימיהם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תהפך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מתלמידי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ונחסר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בימינו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גזרת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הבקור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ותמצאהו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השכחה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שדברו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שחיטת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וניחוש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קחזינן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ופירש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מיעוטא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ולמיעוטא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הותחל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המספחת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והסמוכי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נתפשט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בימיהם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מפירש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שבזמנינו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נתפשטו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במדינתנו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מהקדישים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מהחגאות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יסתרו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אדוקים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מלשונו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אדוקי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ושילוש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שסיים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דמלוין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נותרים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לתקרובת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כרחך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דחשבו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בצרפת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ואשכנז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רבותינו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בגויי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כונתם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אדוקים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שיארע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וכהאי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דהביאו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דשדר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קורבנא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בטבעו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יסתרו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שהביאו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וסיימו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מחזיקין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בימינו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תקרובת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הרווחה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סליקנא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ושילוש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וניחוש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להנוצרי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מתלמידי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מפירש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לשחוט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לשחוט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ולהקטיר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שחיטתן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הקדמוני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ששחטו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דמצינו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בשוחט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להקטיר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שוחט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הקדמונים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האדוק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מפירש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תהפך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יומיא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בדחז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האדוקים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אדוקי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בהבנת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בגבולי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המרחץ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בהכותל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והמגדל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ההיתר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שמענו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מהמדקדקים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ליזהר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שלכאורה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כנהנה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ומשמשי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וגלחים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בבגדיהם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שנושאים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לפניהם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הגמונים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וביו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ווילנא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נדפס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בשינוי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וחסרון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הבקורת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בדברינו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במנח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מקילין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מסירים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הכובע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משתחוים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בחשיבתו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עיננו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רואות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האכרים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מסירים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הכובע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והפחים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מסירים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כובעיהם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בפרט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מערך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בגובה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משפט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המועצה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קיבוץ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ושבי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הכפר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מעמידים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לטובת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יושבי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שממילא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וחשיבות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מחשיבות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קיבוץ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רבים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שמשתחוה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כובעו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מחשיבות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שכבודו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ליזהר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סח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שרטוט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מיכאל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קאסטעל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שאומנתו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לשרטט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לשרטט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הרוצים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תשמיש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דתשמיש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שמעמידין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האליל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הבימוס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שמקריבין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לדידיה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שפוסקין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כהמחבר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שרטוט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שידעו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לשרטט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למלאכת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בעשיית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השרטוט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משורטט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מסתבר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דמסיק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לשרטט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למכור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בהכתיבה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בהמינות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ועוברין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שיעבדו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ויתפללו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בימוס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בהשרטוט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בשרטוט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כדבארתי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שרטוט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השרטוט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והמשרטט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למסייע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לפירושו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למלאכתו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מלאכתו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דנחשב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פליגי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ואדרבה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שיתחשב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השרטוט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שצורכו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מהראוי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מהכיעור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תכשיטין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הוצרכו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לפרנסתו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שרטוטים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יסלקוהו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מעבודתו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לפרנסתו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ולהתרחק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הכיעור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נו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ניגוני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הנכבד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ירחמיאל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פינחס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פרידמן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שמזמרים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תיפלתם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הראדיא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פאנאגראף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שמזמרים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שהפסיקו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שחיבר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נוצרי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מתהלים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שהעתיקו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שמחברין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לפסוקי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תהלים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לתפלותיהן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להנאת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נוצרי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סתמא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לעבודתם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לפרנסה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בחגיגה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שהשיב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לתרבות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מפומיה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חורבן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לתרבות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המשתאות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דראוי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שרגיל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כשקם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וכשהולך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שהביאו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ומלשונם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שרגיל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כדהקשה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לעונש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בבחירת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ועונש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ממילא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מברכו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פיינשטיין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Status of Christianity in the Eyes of Halacha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Rabbi J. D. Bleich “Divine Unity in Maimonides, Tosafists and the Meiri” republished in </w:t>
      </w:r>
      <w:r w:rsidDel="00000000" w:rsidR="00000000" w:rsidRPr="00000000">
        <w:rPr>
          <w:b w:val="1"/>
          <w:i w:val="1"/>
          <w:rtl w:val="0"/>
        </w:rPr>
        <w:t xml:space="preserve">The Philosophical Quest </w:t>
      </w:r>
      <w:r w:rsidDel="00000000" w:rsidR="00000000" w:rsidRPr="00000000">
        <w:rPr>
          <w:b w:val="1"/>
          <w:rtl w:val="0"/>
        </w:rPr>
        <w:t xml:space="preserve">(pages 33-52)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Yeshiva University,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Moshe Halbertal “Ones Posessed By Religion”  Edah Journal 1:1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David Berger, </w:t>
      </w:r>
      <w:r w:rsidDel="00000000" w:rsidR="00000000" w:rsidRPr="00000000">
        <w:rPr>
          <w:b w:val="1"/>
          <w:i w:val="1"/>
          <w:rtl w:val="0"/>
        </w:rPr>
        <w:t xml:space="preserve">The Rebbe the Messiah and the Scandal of Orthodox Indifference </w:t>
      </w:r>
      <w:r w:rsidDel="00000000" w:rsidR="00000000" w:rsidRPr="00000000">
        <w:rPr>
          <w:b w:val="1"/>
          <w:rtl w:val="0"/>
        </w:rPr>
        <w:t xml:space="preserve">(Appendix II and III pages 159-177) Littman Library 2001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David Berger “Jews, Gentiles and Modern Egalitarian Ethos: Some Tentative Thoughts”  in Formulating Responses In an Egalitarian Age, Yeshiva University 2001 pages 83-109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Entering a Church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“Entering a Sanctuary for Hatzalat Yisrael:  An Exchange By: MICHAEL J. BROYDE and KENNETH AUMAN”  </w:t>
      </w:r>
      <w:r w:rsidDel="00000000" w:rsidR="00000000" w:rsidRPr="00000000">
        <w:rPr>
          <w:b w:val="1"/>
          <w:i w:val="1"/>
          <w:rtl w:val="0"/>
        </w:rPr>
        <w:t xml:space="preserve">Chakira </w:t>
      </w:r>
      <w:r w:rsidDel="00000000" w:rsidR="00000000" w:rsidRPr="00000000">
        <w:rPr>
          <w:b w:val="1"/>
          <w:rtl w:val="0"/>
        </w:rPr>
        <w:t xml:space="preserve">volume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Rabbi J. David Bleich “ Entering a Non Jewish House of Worship”</w:t>
      </w:r>
      <w:r w:rsidDel="00000000" w:rsidR="00000000" w:rsidRPr="00000000">
        <w:rPr>
          <w:b w:val="1"/>
          <w:i w:val="1"/>
          <w:rtl w:val="0"/>
        </w:rPr>
        <w:t xml:space="preserve"> Tradition</w:t>
      </w:r>
      <w:r w:rsidDel="00000000" w:rsidR="00000000" w:rsidRPr="00000000">
        <w:rPr>
          <w:b w:val="1"/>
          <w:rtl w:val="0"/>
        </w:rPr>
        <w:t xml:space="preserve"> Volume 44 number 1, Summer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