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3ABC6A29"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4666B3">
        <w:rPr>
          <w:rFonts w:hint="cs"/>
          <w:u w:val="single"/>
          <w:rtl/>
        </w:rPr>
        <w:t xml:space="preserve"> פרק תמיד נשחט</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25221B">
        <w:rPr>
          <w:rFonts w:hint="cs"/>
          <w:u w:val="single"/>
          <w:rtl/>
        </w:rPr>
        <w:t>1</w:t>
      </w:r>
    </w:p>
    <w:p w14:paraId="38E627E5" w14:textId="77777777" w:rsidR="00DC49EA" w:rsidRDefault="00DC49EA" w:rsidP="00DC49EA">
      <w:pPr>
        <w:spacing w:after="120"/>
        <w:jc w:val="both"/>
      </w:pPr>
    </w:p>
    <w:p w14:paraId="1D515ECF" w14:textId="7A997C67" w:rsidR="00414AE8" w:rsidRDefault="00D36BE5" w:rsidP="004666B3">
      <w:pPr>
        <w:spacing w:after="120"/>
        <w:jc w:val="both"/>
        <w:rPr>
          <w:rtl/>
        </w:rPr>
      </w:pPr>
      <w:r>
        <w:rPr>
          <w:rFonts w:hint="cs"/>
          <w:rtl/>
        </w:rPr>
        <w:t>(</w:t>
      </w:r>
      <w:r>
        <w:t>1</w:t>
      </w:r>
      <w:r>
        <w:rPr>
          <w:rFonts w:hint="cs"/>
          <w:rtl/>
        </w:rPr>
        <w:t xml:space="preserve">) </w:t>
      </w:r>
      <w:r w:rsidR="0025221B">
        <w:rPr>
          <w:rFonts w:hint="cs"/>
          <w:rtl/>
        </w:rPr>
        <w:t xml:space="preserve">משנה </w:t>
      </w:r>
      <w:r w:rsidR="0014766A">
        <w:rPr>
          <w:rFonts w:hint="cs"/>
          <w:rtl/>
        </w:rPr>
        <w:t>דף נח.</w:t>
      </w:r>
      <w:r w:rsidR="00B52680">
        <w:rPr>
          <w:rFonts w:hint="cs"/>
          <w:rtl/>
        </w:rPr>
        <w:t xml:space="preserve"> וגמרא עד "אדיניה בשש ומחצה", רש"י, תוס'</w:t>
      </w:r>
      <w:r w:rsidR="00C410B4">
        <w:rPr>
          <w:rFonts w:hint="cs"/>
          <w:rtl/>
        </w:rPr>
        <w:t>, ר"ח, רבינו דוד, מאירי</w:t>
      </w:r>
    </w:p>
    <w:p w14:paraId="6D46752D" w14:textId="799E8D58" w:rsidR="008B6723" w:rsidRDefault="008B6723" w:rsidP="004666B3">
      <w:pPr>
        <w:spacing w:after="120"/>
        <w:jc w:val="both"/>
        <w:rPr>
          <w:rtl/>
        </w:rPr>
      </w:pPr>
      <w:r>
        <w:rPr>
          <w:rFonts w:hint="cs"/>
          <w:rtl/>
        </w:rPr>
        <w:t>[רדב"ז על הרמב"ם תמידין ומוספין א:ג ד"ה ולמה מאחרין אותו וכו']</w:t>
      </w:r>
    </w:p>
    <w:p w14:paraId="52A15397" w14:textId="77777777" w:rsidR="000975D2" w:rsidRDefault="000975D2" w:rsidP="004666B3">
      <w:pPr>
        <w:spacing w:after="120"/>
        <w:jc w:val="both"/>
        <w:rPr>
          <w:rtl/>
        </w:rPr>
      </w:pPr>
    </w:p>
    <w:p w14:paraId="058E83E7" w14:textId="2BE87034" w:rsidR="00B52680" w:rsidRDefault="00B52680" w:rsidP="004666B3">
      <w:pPr>
        <w:spacing w:after="120"/>
        <w:jc w:val="both"/>
        <w:rPr>
          <w:rtl/>
        </w:rPr>
      </w:pPr>
      <w:r>
        <w:rPr>
          <w:rFonts w:hint="cs"/>
          <w:rtl/>
        </w:rPr>
        <w:t>בענין זמן תמיד של בין הערביים מן התורה:</w:t>
      </w:r>
    </w:p>
    <w:p w14:paraId="0F254F90" w14:textId="38B5E9BF" w:rsidR="00B52680" w:rsidRDefault="00C410B4" w:rsidP="004666B3">
      <w:pPr>
        <w:spacing w:after="120"/>
        <w:jc w:val="both"/>
        <w:rPr>
          <w:rtl/>
        </w:rPr>
      </w:pPr>
      <w:r>
        <w:rPr>
          <w:rFonts w:hint="cs"/>
          <w:rtl/>
        </w:rPr>
        <w:t xml:space="preserve">ר"י לוניל על המשנה </w:t>
      </w:r>
      <w:r>
        <w:rPr>
          <w:rtl/>
        </w:rPr>
        <w:t>–</w:t>
      </w:r>
      <w:r>
        <w:rPr>
          <w:rFonts w:hint="cs"/>
          <w:rtl/>
        </w:rPr>
        <w:t xml:space="preserve"> עד "</w:t>
      </w:r>
      <w:r>
        <w:rPr>
          <w:rtl/>
        </w:rPr>
        <w:t>לא נוכל לשחוט אחריו</w:t>
      </w:r>
      <w:r>
        <w:rPr>
          <w:rFonts w:hint="cs"/>
          <w:rtl/>
        </w:rPr>
        <w:t>"</w:t>
      </w:r>
    </w:p>
    <w:p w14:paraId="52F8D4FE" w14:textId="6851F244" w:rsidR="00B52680" w:rsidRDefault="00B52680" w:rsidP="004666B3">
      <w:pPr>
        <w:spacing w:after="120"/>
        <w:jc w:val="both"/>
        <w:rPr>
          <w:rtl/>
        </w:rPr>
      </w:pPr>
      <w:r>
        <w:rPr>
          <w:rFonts w:hint="cs"/>
          <w:rtl/>
        </w:rPr>
        <w:t>תוס' נדה סג: ד"ה מן המנחה ולמעלה</w:t>
      </w:r>
    </w:p>
    <w:p w14:paraId="2AC7F73E" w14:textId="35DD5721" w:rsidR="008653AF" w:rsidRDefault="008653AF" w:rsidP="004666B3">
      <w:pPr>
        <w:spacing w:after="120"/>
        <w:jc w:val="both"/>
        <w:rPr>
          <w:rtl/>
        </w:rPr>
      </w:pPr>
      <w:r>
        <w:rPr>
          <w:rFonts w:hint="cs"/>
          <w:rtl/>
        </w:rPr>
        <w:t>גמ' יומא כח: "אמר רב צלותיה דאברהם ... ויושב בישיבה הוה"</w:t>
      </w:r>
    </w:p>
    <w:p w14:paraId="709A3CD7" w14:textId="77777777" w:rsidR="00FC3683" w:rsidRDefault="00C410B4" w:rsidP="00FC3683">
      <w:pPr>
        <w:spacing w:after="120"/>
        <w:jc w:val="both"/>
        <w:rPr>
          <w:rtl/>
        </w:rPr>
      </w:pPr>
      <w:r>
        <w:rPr>
          <w:rFonts w:hint="cs"/>
          <w:rtl/>
        </w:rPr>
        <w:t xml:space="preserve">רש"י ברכות כו: ד"ה מנחה גדולה, </w:t>
      </w:r>
      <w:r w:rsidR="00FC3683">
        <w:rPr>
          <w:rFonts w:hint="cs"/>
          <w:rtl/>
        </w:rPr>
        <w:t>רש"י שבת ט: ד"ה מנחה גדולה</w:t>
      </w:r>
    </w:p>
    <w:p w14:paraId="507DE7A4" w14:textId="64271663" w:rsidR="00FC3683" w:rsidRDefault="00FC3683" w:rsidP="00FC3683">
      <w:pPr>
        <w:spacing w:after="120"/>
        <w:jc w:val="both"/>
        <w:rPr>
          <w:rtl/>
        </w:rPr>
      </w:pPr>
      <w:r>
        <w:rPr>
          <w:rFonts w:hint="cs"/>
          <w:rtl/>
        </w:rPr>
        <w:t>רש"י פסחים ה</w:t>
      </w:r>
      <w:r w:rsidR="00804E1F">
        <w:rPr>
          <w:rFonts w:hint="cs"/>
          <w:rtl/>
        </w:rPr>
        <w:t>.</w:t>
      </w:r>
      <w:r>
        <w:rPr>
          <w:rFonts w:hint="cs"/>
          <w:rtl/>
        </w:rPr>
        <w:t xml:space="preserve"> ד"ה לא תשחט על חמץ וגו', רש"י פסחים צג:</w:t>
      </w:r>
      <w:r w:rsidR="00D70979">
        <w:rPr>
          <w:rFonts w:hint="cs"/>
          <w:rtl/>
        </w:rPr>
        <w:t xml:space="preserve"> ד"ה חמשה עשר מילין</w:t>
      </w:r>
    </w:p>
    <w:p w14:paraId="44BD37F3" w14:textId="7E0ABD24" w:rsidR="00D70979" w:rsidRDefault="008653AF" w:rsidP="00FC3683">
      <w:pPr>
        <w:spacing w:after="120"/>
        <w:jc w:val="both"/>
        <w:rPr>
          <w:rtl/>
        </w:rPr>
      </w:pPr>
      <w:r>
        <w:rPr>
          <w:rFonts w:hint="cs"/>
          <w:rtl/>
        </w:rPr>
        <w:t>[הררי קדם סימן נא]</w:t>
      </w:r>
    </w:p>
    <w:p w14:paraId="7D07007D" w14:textId="10AAC9B4" w:rsidR="008653AF" w:rsidRDefault="008653AF" w:rsidP="00FC3683">
      <w:pPr>
        <w:spacing w:after="120"/>
        <w:jc w:val="both"/>
        <w:rPr>
          <w:rtl/>
        </w:rPr>
      </w:pPr>
    </w:p>
    <w:p w14:paraId="0308AF79" w14:textId="52C4F0AD" w:rsidR="008653AF" w:rsidRDefault="008653AF" w:rsidP="00FC3683">
      <w:pPr>
        <w:spacing w:after="120"/>
        <w:jc w:val="both"/>
      </w:pPr>
      <w:r>
        <w:rPr>
          <w:rFonts w:hint="cs"/>
          <w:rtl/>
        </w:rPr>
        <w:t>(2) גמרא עד נח:</w:t>
      </w:r>
      <w:r>
        <w:rPr>
          <w:rFonts w:hint="cs"/>
        </w:rPr>
        <w:t xml:space="preserve"> </w:t>
      </w:r>
      <w:r>
        <w:rPr>
          <w:rFonts w:hint="cs"/>
          <w:rtl/>
        </w:rPr>
        <w:t>"תנו רבנן מנין", רש"י, תוס', בעל המאור</w:t>
      </w:r>
    </w:p>
    <w:p w14:paraId="2ED0628D" w14:textId="478CC514" w:rsidR="00C410B4" w:rsidRDefault="008B6723" w:rsidP="008B6723">
      <w:pPr>
        <w:spacing w:after="120"/>
        <w:jc w:val="both"/>
        <w:rPr>
          <w:rtl/>
        </w:rPr>
      </w:pPr>
      <w:r>
        <w:rPr>
          <w:rFonts w:hint="cs"/>
          <w:rtl/>
        </w:rPr>
        <w:t>תוס' שאנץ ד"ה ועבדינן לי' בז' ומחצה, [תוס' ישנים יומא לה: "</w:t>
      </w:r>
      <w:r>
        <w:rPr>
          <w:rtl/>
        </w:rPr>
        <w:t xml:space="preserve">ואומר רבי כי מיכן יש ללמוד </w:t>
      </w:r>
      <w:r>
        <w:rPr>
          <w:rFonts w:hint="cs"/>
          <w:rtl/>
        </w:rPr>
        <w:t xml:space="preserve">... </w:t>
      </w:r>
      <w:r>
        <w:rPr>
          <w:rtl/>
        </w:rPr>
        <w:t>אחר שיקריבוה</w:t>
      </w:r>
      <w:r>
        <w:rPr>
          <w:rFonts w:hint="cs"/>
          <w:rtl/>
        </w:rPr>
        <w:t>"]</w:t>
      </w:r>
    </w:p>
    <w:p w14:paraId="14A8B1D6" w14:textId="7B2C9D61" w:rsidR="004666B3" w:rsidRDefault="000975D2" w:rsidP="004666B3">
      <w:pPr>
        <w:spacing w:after="120"/>
        <w:jc w:val="both"/>
        <w:rPr>
          <w:rtl/>
        </w:rPr>
      </w:pPr>
      <w:r>
        <w:rPr>
          <w:rFonts w:hint="cs"/>
          <w:rtl/>
        </w:rPr>
        <w:t xml:space="preserve">[בענין תוד"ה כאילו </w:t>
      </w:r>
      <w:r>
        <w:rPr>
          <w:rtl/>
        </w:rPr>
        <w:t>–</w:t>
      </w:r>
      <w:r>
        <w:rPr>
          <w:rFonts w:hint="cs"/>
          <w:rtl/>
        </w:rPr>
        <w:t xml:space="preserve"> צל"ח על רש"י ד"ה בשני בשבת, תוס' שאנץ ד"ה כאילו]</w:t>
      </w:r>
    </w:p>
    <w:p w14:paraId="74490266" w14:textId="2FEDEBCE" w:rsidR="004666B3" w:rsidRDefault="004666B3" w:rsidP="004666B3">
      <w:pPr>
        <w:spacing w:after="120"/>
        <w:jc w:val="both"/>
        <w:rPr>
          <w:rtl/>
        </w:rPr>
      </w:pPr>
    </w:p>
    <w:p w14:paraId="557C1547" w14:textId="77777777" w:rsidR="004666B3" w:rsidRDefault="004666B3" w:rsidP="004666B3">
      <w:pPr>
        <w:spacing w:after="120"/>
        <w:jc w:val="both"/>
        <w:rPr>
          <w:rtl/>
        </w:rPr>
      </w:pPr>
    </w:p>
    <w:p w14:paraId="7D3D8088" w14:textId="40668B2A" w:rsidR="001810E5" w:rsidRDefault="001810E5" w:rsidP="00C33486">
      <w:pPr>
        <w:spacing w:after="120"/>
        <w:jc w:val="both"/>
        <w:rPr>
          <w:rtl/>
        </w:rPr>
      </w:pPr>
    </w:p>
    <w:p w14:paraId="38F5B003" w14:textId="77777777" w:rsidR="000C3FC6" w:rsidRDefault="000C3FC6" w:rsidP="00C33486">
      <w:pPr>
        <w:spacing w:after="120"/>
        <w:jc w:val="both"/>
        <w:rPr>
          <w:rtl/>
        </w:rPr>
      </w:pPr>
    </w:p>
    <w:p w14:paraId="4133A558" w14:textId="77777777" w:rsidR="00C410B4" w:rsidRPr="00C410B4" w:rsidRDefault="00C410B4" w:rsidP="00C410B4">
      <w:pPr>
        <w:jc w:val="both"/>
        <w:rPr>
          <w:u w:val="single"/>
          <w:rtl/>
        </w:rPr>
      </w:pPr>
      <w:r w:rsidRPr="00C410B4">
        <w:rPr>
          <w:u w:val="single"/>
          <w:rtl/>
        </w:rPr>
        <w:t>רבינו יהונתן מלוניל על הרי"ף מסכת פסחים (לפי דפי הש"ס) משניות דף נח עמוד א</w:t>
      </w:r>
    </w:p>
    <w:p w14:paraId="42E91370" w14:textId="4908AF4C" w:rsidR="009C03E5" w:rsidRDefault="00C410B4" w:rsidP="00C410B4">
      <w:pPr>
        <w:jc w:val="both"/>
        <w:rPr>
          <w:rtl/>
        </w:rPr>
      </w:pPr>
      <w:r>
        <w:rPr>
          <w:rtl/>
        </w:rPr>
        <w:t>[משנה א]. תמיד נשחט בשמונה ומחצה וכו', תמיד של בין הערבים כל השנה הוא נשחט בשמונה שעות ומחצה, אף על גב דמדאורייתא שעות (אחרונות) [ראשונות] כשרות, דהיינו מכי ינטו צללי ערב, דזהו (משבע) [משש] ומחצה שהשמש נוטה למערב והצל למזרח, כי כשאדם עומד כנגד החמה צל נוטה למזרח, דהיינו [חצי] שש וחצי שבע חמה עומדת באמצע, ואין צלו נוטה, אלא [צל] כל דבר תחת[יו], אבל משש ומחצה צלו של אדם נוטה למזרח, והוא נקרא בין הערבים, וכתיב [במדבר כ"ח] את הכבש השני תעשה בין הערבים (מועדים) [מעידנא] דאתחיל שמשא למערב, ואף על פי כן (מחמרינן) [מאחרינן] למשחט יתיה, משום דאיכא נדרים ונדבות שיש לנו להקריבם, שאם נקדים לשחוט תמיד של בין הערבים (תנן) [תיכף] שהגיע זמנו, לא נוכל לשחוט אחריו</w:t>
      </w:r>
      <w:r w:rsidR="000975D2">
        <w:rPr>
          <w:rFonts w:hint="cs"/>
          <w:rtl/>
        </w:rPr>
        <w:t xml:space="preserve"> ...</w:t>
      </w:r>
    </w:p>
    <w:p w14:paraId="25D55BC8" w14:textId="052ED8F5" w:rsidR="000975D2" w:rsidRDefault="000975D2" w:rsidP="00C410B4">
      <w:pPr>
        <w:jc w:val="both"/>
        <w:rPr>
          <w:rtl/>
        </w:rPr>
      </w:pPr>
    </w:p>
    <w:p w14:paraId="752CA613" w14:textId="77777777" w:rsidR="000975D2" w:rsidRPr="000975D2" w:rsidRDefault="000975D2" w:rsidP="000975D2">
      <w:pPr>
        <w:jc w:val="both"/>
        <w:rPr>
          <w:u w:val="single"/>
          <w:rtl/>
        </w:rPr>
      </w:pPr>
      <w:r w:rsidRPr="000975D2">
        <w:rPr>
          <w:u w:val="single"/>
          <w:rtl/>
        </w:rPr>
        <w:t>צל"ח מסכת פסחים דף נח עמוד ב</w:t>
      </w:r>
    </w:p>
    <w:p w14:paraId="7145E58D" w14:textId="4CEC2B13" w:rsidR="000975D2" w:rsidRPr="009B5AA3" w:rsidRDefault="000975D2" w:rsidP="000975D2">
      <w:pPr>
        <w:jc w:val="both"/>
      </w:pPr>
      <w:r>
        <w:rPr>
          <w:rtl/>
        </w:rPr>
        <w:t>רש"י ד"ה בשני בשבת וכו', ולאו מלתא היא שהרי על פי הראייה היו מקדשין. נלע"ד דמודה רש"י דגם כשקידשו על פי הראיה היו משגיחין שלא יהיה אד"ו ראש, אבל כוונת רש"י שעל בד"ו פסח לא היה משגיחין אז, שהרי עיקר מה שלא בד"ו פסח אינו בשביל הפסח אלא בשביל אד"ו ראש, שאם חל פסח באחד מימי בד"ו ממילא חל ר"ה באחד מימי אד"ו, ושם יש קפידא בשביל יוה"כ ושבת שלא יהיו סמוכים ובשביל יום ערבה, וכל זה עכשיו שאצלנו חדשי הקיץ המה סדורים כסדרם ואי אפשר לשנותם כלל, אבל בימים שקידשו עפ"י הראיה לא היה זה נקשר בזה, שאף שהיה פסח באחד מימי בד"ו היה אפשר לחסר אחד מחדשי הקיץ יותר או לפחות ולא היה בא הראש בימי אד"ו, ולכן עכ"פ בלא בד"ו פסח לא היו זהירין באותו הפעם. ומסולק תלונות התוספות בד"ה כאילו. ושנים רבות אחר שכתבתי זה מצאתי בלחם משנה פ"א מתמידין הלכה ז' כתב ג"כ כוונת רש"י כן כמו"ש.</w:t>
      </w:r>
    </w:p>
    <w:sectPr w:rsidR="000975D2" w:rsidRPr="009B5AA3" w:rsidSect="008B6723">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C0F3" w14:textId="77777777" w:rsidR="002C0B54" w:rsidRDefault="002C0B54">
      <w:r>
        <w:separator/>
      </w:r>
    </w:p>
  </w:endnote>
  <w:endnote w:type="continuationSeparator" w:id="0">
    <w:p w14:paraId="2A85C7F3" w14:textId="77777777" w:rsidR="002C0B54" w:rsidRDefault="002C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DC32" w14:textId="77777777" w:rsidR="002C0B54" w:rsidRDefault="002C0B54">
      <w:r>
        <w:separator/>
      </w:r>
    </w:p>
  </w:footnote>
  <w:footnote w:type="continuationSeparator" w:id="0">
    <w:p w14:paraId="021BE617" w14:textId="77777777" w:rsidR="002C0B54" w:rsidRDefault="002C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6E7"/>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66B3"/>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53AF"/>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979"/>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2021-06-14T20:50:00Z</dcterms:created>
  <dcterms:modified xsi:type="dcterms:W3CDTF">2021-06-16T19:15:00Z</dcterms:modified>
</cp:coreProperties>
</file>