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129AB01"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E04CDE">
        <w:rPr>
          <w:u w:val="single"/>
        </w:rPr>
        <w:t>51</w:t>
      </w:r>
    </w:p>
    <w:p w14:paraId="6B12F29A" w14:textId="77777777" w:rsidR="00F230F3" w:rsidRPr="007E1481" w:rsidRDefault="00F230F3" w:rsidP="007E2360">
      <w:pPr>
        <w:spacing w:after="120"/>
        <w:jc w:val="both"/>
        <w:rPr>
          <w:u w:val="single"/>
          <w:rtl/>
        </w:rPr>
      </w:pPr>
    </w:p>
    <w:p w14:paraId="1B179FD8" w14:textId="24F434C1" w:rsidR="00C5036F" w:rsidRDefault="00445570" w:rsidP="00E04CDE">
      <w:pPr>
        <w:spacing w:after="120"/>
        <w:jc w:val="both"/>
        <w:rPr>
          <w:rtl/>
        </w:rPr>
      </w:pPr>
      <w:r>
        <w:rPr>
          <w:rFonts w:hint="cs"/>
          <w:rtl/>
        </w:rPr>
        <w:t>(1)</w:t>
      </w:r>
      <w:r>
        <w:rPr>
          <w:rFonts w:hint="cs"/>
        </w:rPr>
        <w:t xml:space="preserve"> </w:t>
      </w:r>
      <w:r w:rsidR="00B706B8">
        <w:rPr>
          <w:rFonts w:hint="cs"/>
          <w:rtl/>
        </w:rPr>
        <w:t>גמרא עד המשנה בדף יא:, רש"י, תוס'</w:t>
      </w:r>
      <w:r w:rsidR="00C5036F">
        <w:rPr>
          <w:rFonts w:hint="cs"/>
          <w:rtl/>
        </w:rPr>
        <w:t>, חי הר"ן, מהר"ם חלאווה</w:t>
      </w:r>
      <w:r w:rsidR="0035516B">
        <w:rPr>
          <w:rFonts w:hint="cs"/>
          <w:rtl/>
        </w:rPr>
        <w:t>, [ר"ח דף יא:]</w:t>
      </w:r>
    </w:p>
    <w:p w14:paraId="67AE8B4C" w14:textId="62F67BB2" w:rsidR="000E1FE5" w:rsidRDefault="00D25FC2" w:rsidP="0035516B">
      <w:pPr>
        <w:spacing w:after="120"/>
        <w:jc w:val="both"/>
        <w:rPr>
          <w:rtl/>
        </w:rPr>
      </w:pPr>
      <w:r>
        <w:rPr>
          <w:rFonts w:hint="cs"/>
          <w:rtl/>
        </w:rPr>
        <w:t>[תוס' רי"ד, רש"י מנחות סח. ד"ה קמח קלי תנן</w:t>
      </w:r>
      <w:r w:rsidR="00F967A2">
        <w:rPr>
          <w:rFonts w:hint="cs"/>
          <w:rtl/>
        </w:rPr>
        <w:t>]</w:t>
      </w:r>
    </w:p>
    <w:p w14:paraId="0A9C7F46" w14:textId="77777777" w:rsidR="00167DB5" w:rsidRDefault="00167DB5" w:rsidP="00B706B8">
      <w:pPr>
        <w:spacing w:after="120"/>
        <w:jc w:val="both"/>
        <w:rPr>
          <w:rtl/>
        </w:rPr>
      </w:pPr>
    </w:p>
    <w:p w14:paraId="460A7B95" w14:textId="4E19555D" w:rsidR="000E1FE5" w:rsidRDefault="000E1FE5" w:rsidP="000E1FE5">
      <w:pPr>
        <w:spacing w:after="120"/>
        <w:jc w:val="both"/>
        <w:rPr>
          <w:rtl/>
        </w:rPr>
      </w:pPr>
      <w:r>
        <w:rPr>
          <w:rFonts w:hint="cs"/>
          <w:rtl/>
        </w:rPr>
        <w:t>(2)</w:t>
      </w:r>
      <w:r>
        <w:rPr>
          <w:rFonts w:hint="cs"/>
        </w:rPr>
        <w:t xml:space="preserve"> </w:t>
      </w:r>
      <w:r>
        <w:rPr>
          <w:rFonts w:hint="cs"/>
          <w:rtl/>
        </w:rPr>
        <w:t>ב</w:t>
      </w:r>
      <w:r w:rsidR="00FF6C95">
        <w:rPr>
          <w:rFonts w:hint="cs"/>
          <w:rtl/>
        </w:rPr>
        <w:t xml:space="preserve">ענין </w:t>
      </w:r>
      <w:r w:rsidR="0053112B">
        <w:rPr>
          <w:rFonts w:hint="cs"/>
          <w:rtl/>
        </w:rPr>
        <w:t>ת</w:t>
      </w:r>
      <w:r w:rsidR="00FF6C95">
        <w:rPr>
          <w:rFonts w:hint="cs"/>
          <w:rtl/>
        </w:rPr>
        <w:t>ןד"ה קוצרין</w:t>
      </w:r>
      <w:r>
        <w:rPr>
          <w:rFonts w:hint="cs"/>
          <w:rtl/>
        </w:rPr>
        <w:t>:</w:t>
      </w:r>
    </w:p>
    <w:p w14:paraId="0D6D48C0" w14:textId="0B4EE58B" w:rsidR="00C5036F" w:rsidRDefault="00FF6C95" w:rsidP="000E1FE5">
      <w:pPr>
        <w:spacing w:after="120"/>
        <w:jc w:val="both"/>
        <w:rPr>
          <w:rtl/>
        </w:rPr>
      </w:pPr>
      <w:r>
        <w:rPr>
          <w:rFonts w:hint="cs"/>
          <w:rtl/>
        </w:rPr>
        <w:t>תוס' מנחות סח. ד"ה קוצרים</w:t>
      </w:r>
      <w:r w:rsidR="000E1FE5">
        <w:rPr>
          <w:rFonts w:hint="cs"/>
          <w:rtl/>
        </w:rPr>
        <w:t>, [רמב"ם תמידין ומוספין ז:יג, מנחת חינוך סי' שב אות [ה] בהמדורה החדשה]</w:t>
      </w:r>
    </w:p>
    <w:p w14:paraId="4B74D4F6" w14:textId="77777777" w:rsidR="00612CFC" w:rsidRDefault="000E1FE5" w:rsidP="00612CFC">
      <w:pPr>
        <w:spacing w:after="120"/>
        <w:jc w:val="both"/>
        <w:rPr>
          <w:rtl/>
        </w:rPr>
      </w:pPr>
      <w:r>
        <w:rPr>
          <w:rFonts w:hint="cs"/>
          <w:rtl/>
        </w:rPr>
        <w:t>מה אופי האיסור לקצור קודם העומר?</w:t>
      </w:r>
      <w:r w:rsidR="00612CFC">
        <w:rPr>
          <w:rFonts w:hint="cs"/>
          <w:rtl/>
        </w:rPr>
        <w:t xml:space="preserve"> </w:t>
      </w:r>
    </w:p>
    <w:p w14:paraId="409DB9F4" w14:textId="535C2859" w:rsidR="00612CFC" w:rsidRDefault="000E1FE5" w:rsidP="00612CFC">
      <w:pPr>
        <w:spacing w:after="120"/>
        <w:jc w:val="both"/>
        <w:rPr>
          <w:rtl/>
        </w:rPr>
      </w:pPr>
      <w:r>
        <w:rPr>
          <w:rFonts w:hint="cs"/>
          <w:rtl/>
        </w:rPr>
        <w:t xml:space="preserve">רמב"ם </w:t>
      </w:r>
      <w:r w:rsidR="00612CFC">
        <w:rPr>
          <w:rFonts w:hint="cs"/>
          <w:rtl/>
        </w:rPr>
        <w:t>תמידין ומוספין ז:יג</w:t>
      </w:r>
      <w:r w:rsidR="00612CFC">
        <w:rPr>
          <w:rFonts w:hint="cs"/>
          <w:rtl/>
        </w:rPr>
        <w:t xml:space="preserve">, </w:t>
      </w:r>
      <w:r>
        <w:rPr>
          <w:rFonts w:hint="cs"/>
          <w:rtl/>
        </w:rPr>
        <w:t>כסף משנה ולחם משנה שם</w:t>
      </w:r>
    </w:p>
    <w:p w14:paraId="45D086A8" w14:textId="44239F7E" w:rsidR="00612CFC" w:rsidRDefault="00612CFC" w:rsidP="00612CFC">
      <w:pPr>
        <w:spacing w:after="120"/>
        <w:jc w:val="both"/>
        <w:rPr>
          <w:rtl/>
        </w:rPr>
      </w:pPr>
      <w:r>
        <w:rPr>
          <w:rFonts w:hint="cs"/>
          <w:rtl/>
        </w:rPr>
        <w:t>קרן אורה מנחות סוף דף עא:</w:t>
      </w:r>
      <w:r>
        <w:rPr>
          <w:rFonts w:hint="cs"/>
        </w:rPr>
        <w:t xml:space="preserve"> </w:t>
      </w:r>
      <w:r>
        <w:rPr>
          <w:rFonts w:hint="cs"/>
          <w:rtl/>
        </w:rPr>
        <w:t>"ולא מצאתי כעת ...", [רש"ש מנחות ע., ו</w:t>
      </w:r>
      <w:r w:rsidR="00167DB5">
        <w:rPr>
          <w:rFonts w:hint="cs"/>
          <w:rtl/>
        </w:rPr>
        <w:t>עיין עוד באריכות ב</w:t>
      </w:r>
      <w:r>
        <w:rPr>
          <w:rFonts w:hint="cs"/>
          <w:rtl/>
        </w:rPr>
        <w:t>שו"ת שאגת אריה החדשות דיני חדש סימן ח]</w:t>
      </w:r>
    </w:p>
    <w:p w14:paraId="277C14FD" w14:textId="5006771A" w:rsidR="000E1FE5" w:rsidRDefault="00612CFC" w:rsidP="00612CFC">
      <w:pPr>
        <w:spacing w:after="120"/>
        <w:jc w:val="both"/>
        <w:rPr>
          <w:rtl/>
        </w:rPr>
      </w:pPr>
      <w:r>
        <w:rPr>
          <w:rFonts w:hint="cs"/>
          <w:rtl/>
        </w:rPr>
        <w:t>[וע"ע שטמ"ק מנחות פד. ס"ק א; צפנת פענח הלכות מתנות עניים ב:י</w:t>
      </w:r>
      <w:r w:rsidR="0035516B">
        <w:rPr>
          <w:rFonts w:hint="cs"/>
          <w:rtl/>
        </w:rPr>
        <w:t xml:space="preserve"> "</w:t>
      </w:r>
      <w:r w:rsidR="0035516B">
        <w:rPr>
          <w:rtl/>
        </w:rPr>
        <w:t>והנה עיין בתוספ' דמנחות</w:t>
      </w:r>
      <w:r w:rsidR="0035516B">
        <w:rPr>
          <w:rFonts w:hint="cs"/>
          <w:rtl/>
        </w:rPr>
        <w:t xml:space="preserve"> ..."</w:t>
      </w:r>
      <w:r>
        <w:rPr>
          <w:rFonts w:hint="cs"/>
          <w:rtl/>
        </w:rPr>
        <w:t>; תורת זרעים חלה א:א ד"ה ואסורין בחדש]</w:t>
      </w:r>
    </w:p>
    <w:p w14:paraId="7ED6A5D8" w14:textId="1F64071B" w:rsidR="000E1FE5" w:rsidRDefault="000E1FE5" w:rsidP="00B706B8">
      <w:pPr>
        <w:spacing w:after="120"/>
        <w:jc w:val="both"/>
        <w:rPr>
          <w:rtl/>
        </w:rPr>
      </w:pPr>
    </w:p>
    <w:p w14:paraId="1532D231" w14:textId="2E82C02A" w:rsidR="00167DB5" w:rsidRDefault="00167DB5" w:rsidP="00167DB5">
      <w:pPr>
        <w:spacing w:after="120"/>
        <w:jc w:val="both"/>
        <w:rPr>
          <w:rtl/>
        </w:rPr>
      </w:pPr>
      <w:r>
        <w:rPr>
          <w:rFonts w:hint="cs"/>
          <w:rtl/>
        </w:rPr>
        <w:t>[</w:t>
      </w:r>
      <w:r>
        <w:rPr>
          <w:rFonts w:hint="cs"/>
          <w:rtl/>
        </w:rPr>
        <w:t>(3) עיין עוד</w:t>
      </w:r>
      <w:r w:rsidR="0035516B">
        <w:rPr>
          <w:rFonts w:hint="cs"/>
          <w:rtl/>
        </w:rPr>
        <w:t xml:space="preserve"> </w:t>
      </w:r>
      <w:r>
        <w:rPr>
          <w:rFonts w:hint="cs"/>
          <w:rtl/>
        </w:rPr>
        <w:t>ב</w:t>
      </w:r>
      <w:r>
        <w:rPr>
          <w:rFonts w:hint="cs"/>
          <w:rtl/>
        </w:rPr>
        <w:t xml:space="preserve">גליון הש"ס </w:t>
      </w:r>
      <w:r>
        <w:rPr>
          <w:rFonts w:hint="cs"/>
          <w:rtl/>
        </w:rPr>
        <w:t>כאן</w:t>
      </w:r>
      <w:r>
        <w:rPr>
          <w:rFonts w:hint="cs"/>
          <w:rtl/>
        </w:rPr>
        <w:t>, מרומי שדה ד"ה מאי שנא, תוס' ישנים יומא לו. סוד"ה הני מילי "וא"ת כי פריך בפ"ק דפסחים ... קמשני התם"</w:t>
      </w:r>
      <w:r w:rsidR="00B40D38">
        <w:rPr>
          <w:rFonts w:hint="cs"/>
          <w:rtl/>
        </w:rPr>
        <w:t>;</w:t>
      </w:r>
      <w:r>
        <w:rPr>
          <w:rFonts w:hint="cs"/>
          <w:rtl/>
        </w:rPr>
        <w:t xml:space="preserve"> ואכמ"ל</w:t>
      </w:r>
      <w:r>
        <w:rPr>
          <w:rFonts w:hint="cs"/>
          <w:rtl/>
        </w:rPr>
        <w:t>]</w:t>
      </w:r>
    </w:p>
    <w:p w14:paraId="35C8CE35" w14:textId="77777777" w:rsidR="00FF6C95" w:rsidRDefault="00FF6C95" w:rsidP="00B706B8">
      <w:pPr>
        <w:spacing w:after="120"/>
        <w:jc w:val="both"/>
      </w:pPr>
    </w:p>
    <w:p w14:paraId="0FF7BE03" w14:textId="77777777" w:rsidR="00E04CDE" w:rsidRDefault="00E04CDE" w:rsidP="00B706B8">
      <w:pPr>
        <w:spacing w:after="120"/>
        <w:jc w:val="both"/>
        <w:rPr>
          <w:rtl/>
        </w:rPr>
      </w:pPr>
    </w:p>
    <w:p w14:paraId="0FC17B4E" w14:textId="266F0AC1" w:rsidR="00612CFC" w:rsidRPr="00612CFC" w:rsidRDefault="00612CFC" w:rsidP="00612CFC">
      <w:pPr>
        <w:autoSpaceDE w:val="0"/>
        <w:autoSpaceDN w:val="0"/>
        <w:adjustRightInd w:val="0"/>
        <w:jc w:val="both"/>
        <w:rPr>
          <w:u w:val="single"/>
          <w:rtl/>
        </w:rPr>
      </w:pPr>
      <w:r w:rsidRPr="00612CFC">
        <w:rPr>
          <w:u w:val="single"/>
          <w:rtl/>
        </w:rPr>
        <w:t>קרן אורה מסכת מנחות דף עא עמוד ב</w:t>
      </w:r>
    </w:p>
    <w:p w14:paraId="0CA407E0" w14:textId="759E1E94" w:rsidR="00612CFC" w:rsidRDefault="00167DB5" w:rsidP="00612CFC">
      <w:pPr>
        <w:autoSpaceDE w:val="0"/>
        <w:autoSpaceDN w:val="0"/>
        <w:adjustRightInd w:val="0"/>
        <w:jc w:val="both"/>
        <w:rPr>
          <w:rtl/>
        </w:rPr>
      </w:pPr>
      <w:r>
        <w:rPr>
          <w:rFonts w:hint="cs"/>
          <w:rtl/>
        </w:rPr>
        <w:t xml:space="preserve">... </w:t>
      </w:r>
      <w:r w:rsidR="00612CFC">
        <w:rPr>
          <w:rtl/>
        </w:rPr>
        <w:t>ולא מצאתי כעת מבואר דין קצירה קודם לעומר בא"י בזה"ז, דאולי לא נאסרה קצירה קודם לעומר אלא בזמן קציר עומר צריך שיהי' הוא ראשית, אבל כשאין קציר עומר לא נאסר קצירת הרשות, תדע דאי בזה"ז ג"כ אסור א"כ אימתי הוא שעת היתר, אי עד זמן קצירה הא אכתי לא נקצר, ע"כ עד היתר חדש, וא"כ אשכחן קצירה ג"כ עד לפני העומר, וצ"ע.</w:t>
      </w:r>
    </w:p>
    <w:p w14:paraId="15565642" w14:textId="23FE5C10" w:rsidR="001F367F" w:rsidRDefault="001F367F" w:rsidP="00202DAE">
      <w:pPr>
        <w:autoSpaceDE w:val="0"/>
        <w:autoSpaceDN w:val="0"/>
        <w:adjustRightInd w:val="0"/>
        <w:jc w:val="both"/>
        <w:rPr>
          <w:rtl/>
        </w:rPr>
      </w:pPr>
    </w:p>
    <w:p w14:paraId="2DD70F49" w14:textId="77777777" w:rsidR="00167DB5" w:rsidRPr="00167DB5" w:rsidRDefault="00167DB5" w:rsidP="00167DB5">
      <w:pPr>
        <w:autoSpaceDE w:val="0"/>
        <w:autoSpaceDN w:val="0"/>
        <w:adjustRightInd w:val="0"/>
        <w:jc w:val="both"/>
        <w:rPr>
          <w:u w:val="single"/>
          <w:rtl/>
        </w:rPr>
      </w:pPr>
      <w:r w:rsidRPr="00167DB5">
        <w:rPr>
          <w:u w:val="single"/>
          <w:rtl/>
        </w:rPr>
        <w:t>צפנת פענח הלכות מתנות עניים פרק ב הלכה י</w:t>
      </w:r>
    </w:p>
    <w:p w14:paraId="0B5C4803" w14:textId="06B9FFC9" w:rsidR="00612CFC" w:rsidRDefault="00167DB5" w:rsidP="00167DB5">
      <w:pPr>
        <w:autoSpaceDE w:val="0"/>
        <w:autoSpaceDN w:val="0"/>
        <w:adjustRightInd w:val="0"/>
        <w:jc w:val="both"/>
        <w:rPr>
          <w:rtl/>
        </w:rPr>
      </w:pPr>
      <w:r>
        <w:rPr>
          <w:rFonts w:hint="cs"/>
          <w:rtl/>
        </w:rPr>
        <w:t xml:space="preserve">... </w:t>
      </w:r>
      <w:r>
        <w:rPr>
          <w:rtl/>
        </w:rPr>
        <w:t>והנה עיין בתוספ' דמנחות פ"י דמבואר שם דקצירת חדש דאסור לפני העומר אם קצר לצורך אכילת גוי מותר חזינן דאין שם קצירה עליהם וא"כ לפי"ז אם קצר הישראל לצורך גוים אף בשדה שלו לא תתחייב בפיאה וא"כ צ"ל דהתוספ' דמבואר בפ"ב דכאן דגוי שמסר את שדהו לקצור חייב בפיאה היינו שהקצירה יהי' ג"כ לישראל אך י"ל לפי מה דמבואר בירוש' פ"א ה"ג דמרבינן מן ובקוצרכם דאף קציר של מצוה חייב בפיאה ולא הוה כמו גבי קצירת חדש דאימעט שם מצוה כמבואר מנחות דף ע"ב ה"נ לגבי קצירה לצורך גוים ובאמת אם נימא דקצירת העומר הוא גדר מתיר לקצור לא מחמת דבעינן ראשית קצירכם עיין בירוש' חלה פ"א גבי קצר ונטמא אם חזר היחיד לאיסורו ועיין שבת דף קל"א ע"א ומכות דף ח' ע"ב דזה גופה הוה מצוה ונ"מ אם היו כל השעורים קצורים אימתי ניתר קציר חטים אם נימא דהיא הלילה מתירה או אז רק הבאת העומר או עד אור היום ובזה יש לבאר דברי הגמ' מנחות דף ע' ע"ב ע"ש ברש"י ותוס' ד"ה מאי די"ל דמשכחת לה דאסור לקצור קודם עמוד השחר ואם נימא דהוא בגדר מתיר היך אפשר שיתיר דבר שהוא עצמו אינו בכלל האיסור כלל דקצירה שלו אין עליו שם איסור כלל כיון דהוא קציר מצוה וכמש"כ לעיל וצ"ל דמה שקוצר יותר מכשיעור זה אין עליו שם קציר מצוה ועיין במש"כ רבינו בפ"ז מהל' תמידין ומוספין הי"ד ואם לאו אסור לקוצרה כדרך שאסור לאוכלה עד שיבוא ונ"ל כך דר"ל לאפוקי ממה שכ' לעיל דתבואה שהשרישה אחר העומר דאסורה באכילה עד העומר הבא מ"מ לכתחילה בודאי אסור להביא ממנה עומר הבא דהוה מן הישן וכמבואר בירוש' דחלה פ"א סה"א והוה אמינא דמותר לקוצרה לפני העומר כמו בית השלחין וכמש"כ קמ"ל רבינו דאסור וי"ל דגרע טפי דרק ההבאה מתירה לקצור כמו אכילה ולא הקצירה דלא שייך בה כיון דאינה ראויה לעומר:</w:t>
      </w:r>
    </w:p>
    <w:p w14:paraId="28967785" w14:textId="2F73F751" w:rsidR="0035516B" w:rsidRDefault="0035516B" w:rsidP="00167DB5">
      <w:pPr>
        <w:autoSpaceDE w:val="0"/>
        <w:autoSpaceDN w:val="0"/>
        <w:adjustRightInd w:val="0"/>
        <w:jc w:val="both"/>
        <w:rPr>
          <w:rtl/>
        </w:rPr>
      </w:pPr>
    </w:p>
    <w:p w14:paraId="33C10DD6" w14:textId="77777777" w:rsidR="0035516B" w:rsidRPr="0035516B" w:rsidRDefault="0035516B" w:rsidP="0035516B">
      <w:pPr>
        <w:autoSpaceDE w:val="0"/>
        <w:autoSpaceDN w:val="0"/>
        <w:adjustRightInd w:val="0"/>
        <w:jc w:val="both"/>
        <w:rPr>
          <w:u w:val="single"/>
          <w:rtl/>
        </w:rPr>
      </w:pPr>
      <w:r w:rsidRPr="0035516B">
        <w:rPr>
          <w:u w:val="single"/>
          <w:rtl/>
        </w:rPr>
        <w:t>מרומי שדה מסכת פסחים דף יא עמוד ב</w:t>
      </w:r>
    </w:p>
    <w:p w14:paraId="0EE3BBA4" w14:textId="103CAC87" w:rsidR="0035516B" w:rsidRDefault="0035516B" w:rsidP="0035516B">
      <w:pPr>
        <w:autoSpaceDE w:val="0"/>
        <w:autoSpaceDN w:val="0"/>
        <w:adjustRightInd w:val="0"/>
        <w:jc w:val="both"/>
      </w:pPr>
      <w:r>
        <w:rPr>
          <w:rtl/>
        </w:rPr>
        <w:t>שם. מאי שנא גבי חמץ דגזר, ומאי שנא גבי קרצוף דלא גזר כו'. והקשה הגרע"א ז"ל והיא קושית התו"י ביומא דף ל"ד ע"ב, דקידור הוי דרבנן דהא אינו מתכוין ולא הוי פ"ר כו' עיין שם. וכבר ביארנו בהע"ש סי' ק"ד, דפס"ר דלא ניחא ליה מיקרי דבר שאינו מתכוין ולר"י חייב חטאת, אלא דלרבנן שרי גם לכתחילה, ולא כמלאכה שאינה צריכה לגופה, וא"כ ניחא דקרצוף ודאי דהוי פס"ר אלא דלא ניחא ליה:</w:t>
      </w:r>
    </w:p>
    <w:sectPr w:rsidR="0035516B" w:rsidSect="0035516B">
      <w:footerReference w:type="default" r:id="rId8"/>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32C5" w14:textId="77777777" w:rsidR="00465184" w:rsidRDefault="00465184">
      <w:r>
        <w:separator/>
      </w:r>
    </w:p>
  </w:endnote>
  <w:endnote w:type="continuationSeparator" w:id="0">
    <w:p w14:paraId="17226462" w14:textId="77777777" w:rsidR="00465184" w:rsidRDefault="0046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35CE" w14:textId="77777777" w:rsidR="00465184" w:rsidRDefault="00465184">
      <w:r>
        <w:separator/>
      </w:r>
    </w:p>
  </w:footnote>
  <w:footnote w:type="continuationSeparator" w:id="0">
    <w:p w14:paraId="6C3E0F83" w14:textId="77777777" w:rsidR="00465184" w:rsidRDefault="00465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2021-03-15T14:50:00Z</cp:lastPrinted>
  <dcterms:created xsi:type="dcterms:W3CDTF">2021-04-09T11:46:00Z</dcterms:created>
  <dcterms:modified xsi:type="dcterms:W3CDTF">2021-04-10T22:26:00Z</dcterms:modified>
</cp:coreProperties>
</file>