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5D296158" w:rsidR="00746C02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825A93">
        <w:rPr>
          <w:u w:val="single"/>
        </w:rPr>
        <w:t>49</w:t>
      </w:r>
    </w:p>
    <w:p w14:paraId="6B12F29A" w14:textId="77777777" w:rsidR="00F230F3" w:rsidRPr="007E1481" w:rsidRDefault="00F230F3" w:rsidP="007E2360">
      <w:pPr>
        <w:spacing w:after="120"/>
        <w:jc w:val="both"/>
        <w:rPr>
          <w:u w:val="single"/>
          <w:rtl/>
        </w:rPr>
      </w:pPr>
    </w:p>
    <w:p w14:paraId="21A64A1B" w14:textId="3D37F5F1" w:rsidR="008D7EBF" w:rsidRDefault="00445570" w:rsidP="007E2360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(1)</w:t>
      </w:r>
      <w:r>
        <w:rPr>
          <w:rFonts w:hint="cs"/>
        </w:rPr>
        <w:t xml:space="preserve"> </w:t>
      </w:r>
      <w:r w:rsidR="00A0077F">
        <w:rPr>
          <w:rFonts w:hint="cs"/>
          <w:rtl/>
        </w:rPr>
        <w:t>לסיים את המקורות מדף 48</w:t>
      </w:r>
    </w:p>
    <w:p w14:paraId="4A368D75" w14:textId="77777777" w:rsidR="00A0077F" w:rsidRDefault="00A0077F" w:rsidP="007E2360">
      <w:pPr>
        <w:spacing w:after="120"/>
        <w:jc w:val="both"/>
        <w:rPr>
          <w:rtl/>
        </w:rPr>
      </w:pPr>
    </w:p>
    <w:p w14:paraId="3A886334" w14:textId="034963F4" w:rsidR="00916605" w:rsidRDefault="00445570" w:rsidP="00916605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גמרא </w:t>
      </w:r>
      <w:r w:rsidR="0022619A">
        <w:rPr>
          <w:rFonts w:hint="cs"/>
          <w:rtl/>
        </w:rPr>
        <w:t xml:space="preserve">עד המשנה בדף י:, </w:t>
      </w:r>
      <w:r>
        <w:rPr>
          <w:rFonts w:hint="cs"/>
          <w:rtl/>
        </w:rPr>
        <w:t xml:space="preserve">רש"י,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>'</w:t>
      </w:r>
      <w:r w:rsidR="00916605">
        <w:rPr>
          <w:rFonts w:hint="cs"/>
          <w:rtl/>
        </w:rPr>
        <w:t xml:space="preserve">, </w:t>
      </w:r>
      <w:r w:rsidR="00916605">
        <w:rPr>
          <w:rFonts w:hint="cs"/>
          <w:rtl/>
        </w:rPr>
        <w:t>מאירי ד"ה תינוק נכנס</w:t>
      </w:r>
    </w:p>
    <w:p w14:paraId="3E2E0936" w14:textId="07243795" w:rsidR="00916605" w:rsidRDefault="00916605" w:rsidP="00916605">
      <w:pPr>
        <w:spacing w:after="120"/>
        <w:jc w:val="both"/>
        <w:rPr>
          <w:rtl/>
        </w:rPr>
      </w:pPr>
    </w:p>
    <w:p w14:paraId="3960147D" w14:textId="6264A1F1" w:rsidR="00916605" w:rsidRDefault="00916605" w:rsidP="00916605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היחס בין מחלוקת רבי </w:t>
      </w:r>
      <w:proofErr w:type="spellStart"/>
      <w:r>
        <w:rPr>
          <w:rFonts w:hint="cs"/>
          <w:rtl/>
        </w:rPr>
        <w:t>ורשב"ג</w:t>
      </w:r>
      <w:proofErr w:type="spellEnd"/>
      <w:r>
        <w:rPr>
          <w:rFonts w:hint="cs"/>
          <w:rtl/>
        </w:rPr>
        <w:t xml:space="preserve"> </w:t>
      </w:r>
      <w:r w:rsidR="000D0DC8">
        <w:t>)</w:t>
      </w:r>
      <w:r>
        <w:rPr>
          <w:rFonts w:hint="cs"/>
          <w:rtl/>
        </w:rPr>
        <w:t>בקבר שנמצא</w:t>
      </w:r>
      <w:r w:rsidR="000D0DC8">
        <w:t>(</w:t>
      </w:r>
      <w:r>
        <w:rPr>
          <w:rFonts w:hint="cs"/>
          <w:rtl/>
        </w:rPr>
        <w:t xml:space="preserve"> להמשך </w:t>
      </w:r>
      <w:proofErr w:type="spellStart"/>
      <w:r>
        <w:rPr>
          <w:rFonts w:hint="cs"/>
          <w:rtl/>
        </w:rPr>
        <w:t>הסוגיא</w:t>
      </w:r>
      <w:proofErr w:type="spellEnd"/>
      <w:r>
        <w:rPr>
          <w:rFonts w:hint="cs"/>
          <w:rtl/>
        </w:rPr>
        <w:t>:</w:t>
      </w:r>
    </w:p>
    <w:p w14:paraId="405ACBCB" w14:textId="77777777" w:rsidR="00916605" w:rsidRDefault="00F24B93" w:rsidP="007E236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בעל המאור "על בדק ואשכח ... לעיל </w:t>
      </w:r>
      <w:proofErr w:type="spellStart"/>
      <w:r>
        <w:rPr>
          <w:rFonts w:hint="cs"/>
          <w:rtl/>
        </w:rPr>
        <w:t>דסוגיין</w:t>
      </w:r>
      <w:proofErr w:type="spellEnd"/>
      <w:r>
        <w:rPr>
          <w:rFonts w:hint="cs"/>
          <w:rtl/>
        </w:rPr>
        <w:t xml:space="preserve"> כרבי", </w:t>
      </w:r>
      <w:r w:rsidR="007E2360">
        <w:rPr>
          <w:rFonts w:hint="cs"/>
          <w:rtl/>
        </w:rPr>
        <w:t xml:space="preserve">השגת </w:t>
      </w:r>
      <w:proofErr w:type="spellStart"/>
      <w:r w:rsidR="007E2360">
        <w:rPr>
          <w:rFonts w:hint="cs"/>
          <w:rtl/>
        </w:rPr>
        <w:t>הראב"ד</w:t>
      </w:r>
      <w:proofErr w:type="spellEnd"/>
      <w:r w:rsidR="007E2360">
        <w:rPr>
          <w:rFonts w:hint="cs"/>
          <w:rtl/>
        </w:rPr>
        <w:t xml:space="preserve"> שם (במהדורה החדשה) "על בדק ואשכח ... </w:t>
      </w:r>
      <w:proofErr w:type="spellStart"/>
      <w:r w:rsidR="007E2360">
        <w:rPr>
          <w:rFonts w:hint="cs"/>
          <w:rtl/>
        </w:rPr>
        <w:t>דידים</w:t>
      </w:r>
      <w:proofErr w:type="spellEnd"/>
      <w:r w:rsidR="007E2360">
        <w:rPr>
          <w:rFonts w:hint="cs"/>
          <w:rtl/>
        </w:rPr>
        <w:t xml:space="preserve"> מוכיחות הווין"</w:t>
      </w:r>
    </w:p>
    <w:p w14:paraId="5D3C6A80" w14:textId="76128A91" w:rsidR="00920C86" w:rsidRDefault="007E2360" w:rsidP="007E236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ר' דוד ד"ה שאני אומר קבר שאבד, חי'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ד"ה על בדק ואשכח</w:t>
      </w:r>
    </w:p>
    <w:p w14:paraId="00FADC76" w14:textId="49E92BDB" w:rsidR="007E2360" w:rsidRDefault="00D9643C" w:rsidP="007E2360">
      <w:pPr>
        <w:spacing w:after="120"/>
        <w:jc w:val="both"/>
      </w:pPr>
      <w:r>
        <w:rPr>
          <w:rFonts w:hint="cs"/>
          <w:rtl/>
        </w:rPr>
        <w:t xml:space="preserve">רמב"ם </w:t>
      </w:r>
      <w:r w:rsidR="00D94D52">
        <w:rPr>
          <w:rFonts w:hint="cs"/>
          <w:rtl/>
        </w:rPr>
        <w:t xml:space="preserve">טומאת מת ט:י, רמב"ם </w:t>
      </w:r>
      <w:r>
        <w:rPr>
          <w:rFonts w:hint="cs"/>
          <w:rtl/>
        </w:rPr>
        <w:t xml:space="preserve">חמץ ומצה ב:יא-יב, </w:t>
      </w:r>
      <w:proofErr w:type="spellStart"/>
      <w:r w:rsidR="00C16D04">
        <w:rPr>
          <w:rFonts w:hint="cs"/>
          <w:rtl/>
        </w:rPr>
        <w:t>משל"מ</w:t>
      </w:r>
      <w:proofErr w:type="spellEnd"/>
      <w:r w:rsidR="00C16D04">
        <w:rPr>
          <w:rFonts w:hint="cs"/>
          <w:rtl/>
        </w:rPr>
        <w:t xml:space="preserve"> ד"ה </w:t>
      </w:r>
      <w:r w:rsidR="00C16D04" w:rsidRPr="00C16D04">
        <w:rPr>
          <w:rtl/>
        </w:rPr>
        <w:t xml:space="preserve">הניח החמץ </w:t>
      </w:r>
      <w:proofErr w:type="spellStart"/>
      <w:r w:rsidR="00C16D04" w:rsidRPr="00C16D04">
        <w:rPr>
          <w:rtl/>
        </w:rPr>
        <w:t>בזוית</w:t>
      </w:r>
      <w:proofErr w:type="spellEnd"/>
      <w:r w:rsidR="00C16D04" w:rsidRPr="00C16D04">
        <w:rPr>
          <w:rtl/>
        </w:rPr>
        <w:t xml:space="preserve"> זו</w:t>
      </w:r>
    </w:p>
    <w:p w14:paraId="6429F098" w14:textId="37FFD7A7" w:rsidR="00916605" w:rsidRDefault="00916605" w:rsidP="007E2360">
      <w:pPr>
        <w:spacing w:after="120"/>
        <w:jc w:val="both"/>
        <w:rPr>
          <w:rtl/>
        </w:rPr>
      </w:pPr>
    </w:p>
    <w:p w14:paraId="6D00F2BD" w14:textId="57ACA57F" w:rsidR="00916605" w:rsidRDefault="00916605" w:rsidP="007E236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(4)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בממוניה</w:t>
      </w:r>
      <w:proofErr w:type="spellEnd"/>
      <w:r>
        <w:rPr>
          <w:rFonts w:hint="cs"/>
          <w:rtl/>
        </w:rPr>
        <w:t>:</w:t>
      </w:r>
    </w:p>
    <w:p w14:paraId="62D3354F" w14:textId="3DADAF56" w:rsidR="00916605" w:rsidRDefault="00916605" w:rsidP="00916605">
      <w:pPr>
        <w:spacing w:after="120"/>
        <w:jc w:val="both"/>
      </w:pP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שאנץ</w:t>
      </w:r>
      <w:proofErr w:type="spellEnd"/>
      <w:r>
        <w:rPr>
          <w:rFonts w:hint="cs"/>
          <w:rtl/>
        </w:rPr>
        <w:t xml:space="preserve"> ור' דוד ד"ה </w:t>
      </w:r>
      <w:proofErr w:type="spellStart"/>
      <w:r>
        <w:rPr>
          <w:rFonts w:hint="cs"/>
          <w:rtl/>
        </w:rPr>
        <w:t>בממוניה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מהר"ם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חלאווה</w:t>
      </w:r>
      <w:proofErr w:type="spellEnd"/>
      <w:r>
        <w:rPr>
          <w:rFonts w:hint="cs"/>
          <w:rtl/>
        </w:rPr>
        <w:t xml:space="preserve"> ד"ה או </w:t>
      </w:r>
      <w:proofErr w:type="spellStart"/>
      <w:r>
        <w:rPr>
          <w:rFonts w:hint="cs"/>
          <w:rtl/>
        </w:rPr>
        <w:t>דלמא</w:t>
      </w:r>
      <w:proofErr w:type="spellEnd"/>
      <w:r>
        <w:rPr>
          <w:rFonts w:hint="cs"/>
          <w:rtl/>
        </w:rPr>
        <w:t xml:space="preserve">, [מאירי ד: </w:t>
      </w:r>
      <w:r w:rsidR="00D96EE8">
        <w:rPr>
          <w:rFonts w:hint="cs"/>
          <w:rtl/>
        </w:rPr>
        <w:t>"המשכיר בית ... בדומה למקח טעות"]</w:t>
      </w:r>
    </w:p>
    <w:p w14:paraId="00C3308F" w14:textId="5B2A89B5" w:rsidR="0022619A" w:rsidRDefault="0022619A" w:rsidP="007E2360">
      <w:pPr>
        <w:spacing w:after="120"/>
        <w:jc w:val="both"/>
        <w:rPr>
          <w:rtl/>
        </w:rPr>
      </w:pPr>
    </w:p>
    <w:p w14:paraId="09F1C198" w14:textId="4E684221" w:rsidR="0022619A" w:rsidRDefault="00F67A43" w:rsidP="007E236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[(5)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פסק ההלכה, עיין ר"ח, </w:t>
      </w: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, </w:t>
      </w:r>
      <w:r w:rsidR="000D0DC8">
        <w:rPr>
          <w:rFonts w:hint="cs"/>
          <w:rtl/>
        </w:rPr>
        <w:t xml:space="preserve">חי' </w:t>
      </w:r>
      <w:proofErr w:type="spellStart"/>
      <w:r w:rsidR="000D0DC8">
        <w:rPr>
          <w:rFonts w:hint="cs"/>
          <w:rtl/>
        </w:rPr>
        <w:t>הר"ן</w:t>
      </w:r>
      <w:proofErr w:type="spellEnd"/>
      <w:r w:rsidR="000D0DC8">
        <w:rPr>
          <w:rFonts w:hint="cs"/>
          <w:rtl/>
        </w:rPr>
        <w:t xml:space="preserve"> ד"ה ככר בשמי קורה, </w:t>
      </w:r>
      <w:r>
        <w:rPr>
          <w:rFonts w:hint="cs"/>
          <w:rtl/>
        </w:rPr>
        <w:t xml:space="preserve">בעל המאור והשגת </w:t>
      </w:r>
      <w:proofErr w:type="spellStart"/>
      <w:r>
        <w:rPr>
          <w:rFonts w:hint="cs"/>
          <w:rtl/>
        </w:rPr>
        <w:t>הראב"ד</w:t>
      </w:r>
      <w:proofErr w:type="spellEnd"/>
      <w:r>
        <w:rPr>
          <w:rFonts w:hint="cs"/>
          <w:rtl/>
        </w:rPr>
        <w:t xml:space="preserve"> שם, רמב"ם חמץ ומצה ב:ז-יג והשגת </w:t>
      </w:r>
      <w:proofErr w:type="spellStart"/>
      <w:r>
        <w:rPr>
          <w:rFonts w:hint="cs"/>
          <w:rtl/>
        </w:rPr>
        <w:t>הראב"ד</w:t>
      </w:r>
      <w:proofErr w:type="spellEnd"/>
      <w:r>
        <w:rPr>
          <w:rFonts w:hint="cs"/>
          <w:rtl/>
        </w:rPr>
        <w:t xml:space="preserve"> שם, וספר העיטור עשרת הדברות הל' ביעור חמץ דף קיט]</w:t>
      </w:r>
    </w:p>
    <w:p w14:paraId="0679C210" w14:textId="77777777" w:rsidR="0022619A" w:rsidRDefault="0022619A" w:rsidP="007E2360">
      <w:pPr>
        <w:spacing w:after="120"/>
        <w:jc w:val="both"/>
      </w:pPr>
    </w:p>
    <w:p w14:paraId="5D42EA76" w14:textId="6B299485" w:rsidR="009A33E5" w:rsidRDefault="009A33E5" w:rsidP="007E2360">
      <w:pPr>
        <w:spacing w:after="120"/>
        <w:jc w:val="both"/>
        <w:rPr>
          <w:rtl/>
        </w:rPr>
      </w:pPr>
    </w:p>
    <w:p w14:paraId="207C7150" w14:textId="1B32C3B7" w:rsidR="009A33E5" w:rsidRDefault="009A33E5" w:rsidP="007E2360">
      <w:pPr>
        <w:spacing w:after="120"/>
        <w:jc w:val="both"/>
        <w:rPr>
          <w:rtl/>
        </w:rPr>
      </w:pPr>
    </w:p>
    <w:p w14:paraId="058AF9BC" w14:textId="3F9B41E4" w:rsidR="009A33E5" w:rsidRDefault="009A33E5" w:rsidP="007E2360">
      <w:pPr>
        <w:spacing w:after="120"/>
        <w:jc w:val="both"/>
        <w:rPr>
          <w:rtl/>
        </w:rPr>
      </w:pPr>
    </w:p>
    <w:p w14:paraId="423BA231" w14:textId="04CA0DE4" w:rsidR="009A33E5" w:rsidRDefault="009A33E5" w:rsidP="007E2360">
      <w:pPr>
        <w:spacing w:after="120"/>
        <w:jc w:val="both"/>
        <w:rPr>
          <w:rtl/>
        </w:rPr>
      </w:pPr>
    </w:p>
    <w:p w14:paraId="5683A05E" w14:textId="12AC2D5D" w:rsidR="009A33E5" w:rsidRDefault="009A33E5" w:rsidP="007E2360">
      <w:pPr>
        <w:spacing w:after="120"/>
        <w:jc w:val="both"/>
        <w:rPr>
          <w:rtl/>
        </w:rPr>
      </w:pPr>
    </w:p>
    <w:p w14:paraId="7254FBE2" w14:textId="415008A9" w:rsidR="009A33E5" w:rsidRDefault="009A33E5" w:rsidP="007E2360">
      <w:pPr>
        <w:spacing w:after="120"/>
        <w:jc w:val="both"/>
        <w:rPr>
          <w:rtl/>
        </w:rPr>
      </w:pPr>
    </w:p>
    <w:p w14:paraId="3669031A" w14:textId="77777777" w:rsidR="009A33E5" w:rsidRDefault="009A33E5" w:rsidP="007E2360">
      <w:pPr>
        <w:spacing w:after="120"/>
        <w:jc w:val="both"/>
        <w:rPr>
          <w:rtl/>
        </w:rPr>
      </w:pPr>
    </w:p>
    <w:p w14:paraId="7D2DB3D4" w14:textId="3B658A2C" w:rsidR="00920C86" w:rsidRDefault="00920C86" w:rsidP="007E2360">
      <w:pPr>
        <w:bidi w:val="0"/>
        <w:jc w:val="both"/>
        <w:rPr>
          <w:rtl/>
        </w:rPr>
      </w:pPr>
    </w:p>
    <w:p w14:paraId="0123DA83" w14:textId="10BDD68A" w:rsidR="00A0077F" w:rsidRDefault="00A0077F" w:rsidP="007E2360">
      <w:pPr>
        <w:autoSpaceDE w:val="0"/>
        <w:autoSpaceDN w:val="0"/>
        <w:adjustRightInd w:val="0"/>
        <w:jc w:val="both"/>
      </w:pPr>
    </w:p>
    <w:p w14:paraId="6C435663" w14:textId="38A74008" w:rsidR="000D0DC8" w:rsidRDefault="000D0DC8" w:rsidP="000D0DC8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כתוב שם </w:t>
      </w:r>
      <w:proofErr w:type="spellStart"/>
      <w:r>
        <w:rPr>
          <w:rtl/>
        </w:rPr>
        <w:t>לראב"ד</w:t>
      </w:r>
      <w:proofErr w:type="spellEnd"/>
      <w:r>
        <w:rPr>
          <w:rtl/>
        </w:rPr>
        <w:t xml:space="preserve"> מסכת פסחים דף ד עמוד ב (פסחים דף י א).</w:t>
      </w:r>
    </w:p>
    <w:p w14:paraId="6E55F3F2" w14:textId="77777777" w:rsidR="000D0DC8" w:rsidRDefault="000D0DC8" w:rsidP="000D0DC8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כתוב שם: על ובדק ואשכח [פלוגתא דרבי </w:t>
      </w:r>
      <w:proofErr w:type="spellStart"/>
      <w:r>
        <w:rPr>
          <w:rtl/>
        </w:rPr>
        <w:t>ורשב"ג</w:t>
      </w:r>
      <w:proofErr w:type="spellEnd"/>
      <w:r>
        <w:rPr>
          <w:rtl/>
        </w:rPr>
        <w:t xml:space="preserve">] [ו]הלכתא כרבי </w:t>
      </w:r>
      <w:proofErr w:type="spellStart"/>
      <w:r>
        <w:rPr>
          <w:rtl/>
        </w:rPr>
        <w:t>דסוגיין</w:t>
      </w:r>
      <w:proofErr w:type="spellEnd"/>
      <w:r>
        <w:rPr>
          <w:rtl/>
        </w:rPr>
        <w:t xml:space="preserve"> כוותיה.</w:t>
      </w:r>
    </w:p>
    <w:p w14:paraId="361EF85D" w14:textId="4DA56E62" w:rsidR="00E529AF" w:rsidRDefault="000D0DC8" w:rsidP="000D0DC8">
      <w:pPr>
        <w:autoSpaceDE w:val="0"/>
        <w:autoSpaceDN w:val="0"/>
        <w:adjustRightInd w:val="0"/>
        <w:jc w:val="both"/>
        <w:rPr>
          <w:rFonts w:hint="cs"/>
          <w:rtl/>
        </w:rPr>
      </w:pPr>
      <w:r>
        <w:rPr>
          <w:rtl/>
        </w:rPr>
        <w:t xml:space="preserve">[אמר אברהם:] ולאו מטעמיה של זה </w:t>
      </w:r>
      <w:proofErr w:type="spellStart"/>
      <w:r>
        <w:rPr>
          <w:rtl/>
        </w:rPr>
        <w:t>דמההיא</w:t>
      </w:r>
      <w:proofErr w:type="spellEnd"/>
      <w:r>
        <w:rPr>
          <w:rtl/>
        </w:rPr>
        <w:t xml:space="preserve"> לא שמעינן מידי,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קאמרינן</w:t>
      </w:r>
      <w:proofErr w:type="spellEnd"/>
      <w:r>
        <w:rPr>
          <w:rtl/>
        </w:rPr>
        <w:t xml:space="preserve"> בהניח י' ומצא תשע פלוגתא דרבי ורבנן אלא היינו סיפא, כלומר </w:t>
      </w:r>
      <w:proofErr w:type="spellStart"/>
      <w:r>
        <w:rPr>
          <w:rtl/>
        </w:rPr>
        <w:t>דלכ"ע</w:t>
      </w:r>
      <w:proofErr w:type="spellEnd"/>
      <w:r>
        <w:rPr>
          <w:rtl/>
        </w:rPr>
        <w:t xml:space="preserve"> צריך בדיקה. מיהו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ידעינן</w:t>
      </w:r>
      <w:proofErr w:type="spellEnd"/>
      <w:r>
        <w:rPr>
          <w:rtl/>
        </w:rPr>
        <w:t xml:space="preserve"> מאי </w:t>
      </w:r>
      <w:proofErr w:type="spellStart"/>
      <w:r>
        <w:rPr>
          <w:rtl/>
        </w:rPr>
        <w:t>קסברי</w:t>
      </w:r>
      <w:proofErr w:type="spellEnd"/>
      <w:r>
        <w:rPr>
          <w:rtl/>
        </w:rPr>
        <w:t xml:space="preserve"> בבדק ומצא עשר אי סגי ליה בהכי עד שיבדוק כל הבית, אלא מדברי רבא במצא </w:t>
      </w:r>
      <w:proofErr w:type="spellStart"/>
      <w:r>
        <w:rPr>
          <w:rtl/>
        </w:rPr>
        <w:t>פירורין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דתינוק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ומההיא</w:t>
      </w:r>
      <w:proofErr w:type="spellEnd"/>
      <w:r>
        <w:rPr>
          <w:rtl/>
        </w:rPr>
        <w:t xml:space="preserve"> נמי לא </w:t>
      </w:r>
      <w:proofErr w:type="spellStart"/>
      <w:r>
        <w:rPr>
          <w:rtl/>
        </w:rPr>
        <w:t>מיחוורא</w:t>
      </w:r>
      <w:proofErr w:type="spellEnd"/>
      <w:r>
        <w:rPr>
          <w:rtl/>
        </w:rPr>
        <w:t xml:space="preserve"> מילתא שפיר,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נכנס אחריו ומצא לפניו </w:t>
      </w:r>
      <w:proofErr w:type="spellStart"/>
      <w:r>
        <w:rPr>
          <w:rtl/>
        </w:rPr>
        <w:t>פירורין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דידים</w:t>
      </w:r>
      <w:proofErr w:type="spellEnd"/>
      <w:r>
        <w:rPr>
          <w:rtl/>
        </w:rPr>
        <w:t xml:space="preserve"> מוכיחות הוויין.</w:t>
      </w:r>
      <w:r>
        <w:rPr>
          <w:rFonts w:hint="cs"/>
          <w:rtl/>
        </w:rPr>
        <w:t>..</w:t>
      </w:r>
    </w:p>
    <w:sectPr w:rsidR="00E529AF" w:rsidSect="009A33E5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D491" w14:textId="77777777" w:rsidR="00627A5D" w:rsidRDefault="00627A5D">
      <w:r>
        <w:separator/>
      </w:r>
    </w:p>
  </w:endnote>
  <w:endnote w:type="continuationSeparator" w:id="0">
    <w:p w14:paraId="53A6131B" w14:textId="77777777" w:rsidR="00627A5D" w:rsidRDefault="0062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AFC4" w14:textId="77777777" w:rsidR="00627A5D" w:rsidRDefault="00627A5D">
      <w:r>
        <w:separator/>
      </w:r>
    </w:p>
  </w:footnote>
  <w:footnote w:type="continuationSeparator" w:id="0">
    <w:p w14:paraId="32DA0DDE" w14:textId="77777777" w:rsidR="00627A5D" w:rsidRDefault="0062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30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A34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0DC8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287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F9D"/>
    <w:rsid w:val="00170544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D8C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19A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351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299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6E34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3E3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2B0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345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095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0EF"/>
    <w:rsid w:val="00445570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3C8C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0A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7D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3AB8"/>
    <w:rsid w:val="005143F5"/>
    <w:rsid w:val="00514CB2"/>
    <w:rsid w:val="005157CF"/>
    <w:rsid w:val="00515902"/>
    <w:rsid w:val="00515B74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543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783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154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39F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4C95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DC7"/>
    <w:rsid w:val="00612EAF"/>
    <w:rsid w:val="00612F02"/>
    <w:rsid w:val="006134CA"/>
    <w:rsid w:val="006147F1"/>
    <w:rsid w:val="00614AFB"/>
    <w:rsid w:val="00614C0E"/>
    <w:rsid w:val="00614EBA"/>
    <w:rsid w:val="006150EB"/>
    <w:rsid w:val="0061552B"/>
    <w:rsid w:val="0061618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546"/>
    <w:rsid w:val="00625654"/>
    <w:rsid w:val="0062583A"/>
    <w:rsid w:val="00625C48"/>
    <w:rsid w:val="006262A7"/>
    <w:rsid w:val="00626ADB"/>
    <w:rsid w:val="00626C13"/>
    <w:rsid w:val="00626C35"/>
    <w:rsid w:val="00627853"/>
    <w:rsid w:val="00627A5D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70F"/>
    <w:rsid w:val="006639E7"/>
    <w:rsid w:val="00663E6A"/>
    <w:rsid w:val="00664292"/>
    <w:rsid w:val="006650E3"/>
    <w:rsid w:val="00666149"/>
    <w:rsid w:val="006665C8"/>
    <w:rsid w:val="00666CAE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4919"/>
    <w:rsid w:val="00685132"/>
    <w:rsid w:val="00685194"/>
    <w:rsid w:val="00685205"/>
    <w:rsid w:val="00685C6B"/>
    <w:rsid w:val="00685F60"/>
    <w:rsid w:val="006865E4"/>
    <w:rsid w:val="006869A2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6BF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A7CBE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B8B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228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77C61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2A0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160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676E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360"/>
    <w:rsid w:val="007E29F7"/>
    <w:rsid w:val="007E2C5E"/>
    <w:rsid w:val="007E2EC8"/>
    <w:rsid w:val="007E4504"/>
    <w:rsid w:val="007E488F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1F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A93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CAE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1278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48C"/>
    <w:rsid w:val="008C25C7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0F27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D7EBF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36E7"/>
    <w:rsid w:val="009038E5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605"/>
    <w:rsid w:val="009168A8"/>
    <w:rsid w:val="009169F0"/>
    <w:rsid w:val="00916CB1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0F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6AD3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E5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77F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3E7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463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C1"/>
    <w:rsid w:val="00B06154"/>
    <w:rsid w:val="00B06510"/>
    <w:rsid w:val="00B06FDF"/>
    <w:rsid w:val="00B0773F"/>
    <w:rsid w:val="00B07E2D"/>
    <w:rsid w:val="00B1007B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987"/>
    <w:rsid w:val="00B51E2B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1C24"/>
    <w:rsid w:val="00B723D1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258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4E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7F9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5E16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2E49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6D04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27DE1"/>
    <w:rsid w:val="00C300FA"/>
    <w:rsid w:val="00C30624"/>
    <w:rsid w:val="00C30803"/>
    <w:rsid w:val="00C30FC6"/>
    <w:rsid w:val="00C31689"/>
    <w:rsid w:val="00C31AF8"/>
    <w:rsid w:val="00C31BEE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02D"/>
    <w:rsid w:val="00C7028C"/>
    <w:rsid w:val="00C703B6"/>
    <w:rsid w:val="00C70558"/>
    <w:rsid w:val="00C71336"/>
    <w:rsid w:val="00C71558"/>
    <w:rsid w:val="00C7188B"/>
    <w:rsid w:val="00C71CF1"/>
    <w:rsid w:val="00C71DDB"/>
    <w:rsid w:val="00C72440"/>
    <w:rsid w:val="00C724E4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AA5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74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67CAA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547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52"/>
    <w:rsid w:val="00D94DF2"/>
    <w:rsid w:val="00D953F5"/>
    <w:rsid w:val="00D9555F"/>
    <w:rsid w:val="00D95FB1"/>
    <w:rsid w:val="00D9643C"/>
    <w:rsid w:val="00D96C08"/>
    <w:rsid w:val="00D96EBC"/>
    <w:rsid w:val="00D96EE8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17ED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4F8B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A7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B8E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A2E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0C6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9AF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B6A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24C2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474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111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3"/>
    <w:rsid w:val="00F24B95"/>
    <w:rsid w:val="00F2503A"/>
    <w:rsid w:val="00F25082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1FC7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43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3AD3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7B3"/>
    <w:rsid w:val="00FA0987"/>
    <w:rsid w:val="00FA0A66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2021-03-15T14:50:00Z</cp:lastPrinted>
  <dcterms:created xsi:type="dcterms:W3CDTF">2021-03-15T11:16:00Z</dcterms:created>
  <dcterms:modified xsi:type="dcterms:W3CDTF">2021-03-15T14:50:00Z</dcterms:modified>
</cp:coreProperties>
</file>